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47C6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SHDR-2025-0370001</w:t>
      </w:r>
    </w:p>
    <w:p w14:paraId="642857CE">
      <w:pPr>
        <w:jc w:val="center"/>
        <w:rPr>
          <w:b/>
          <w:sz w:val="44"/>
          <w:szCs w:val="44"/>
        </w:rPr>
      </w:pPr>
    </w:p>
    <w:p w14:paraId="24B7D06B">
      <w:pPr>
        <w:jc w:val="center"/>
        <w:rPr>
          <w:b/>
          <w:sz w:val="44"/>
          <w:szCs w:val="44"/>
        </w:rPr>
      </w:pPr>
    </w:p>
    <w:p w14:paraId="65C29412">
      <w:pPr>
        <w:pStyle w:val="10"/>
      </w:pPr>
    </w:p>
    <w:p w14:paraId="4E21413F">
      <w:pPr>
        <w:jc w:val="center"/>
        <w:rPr>
          <w:b/>
          <w:sz w:val="44"/>
          <w:szCs w:val="44"/>
        </w:rPr>
      </w:pPr>
    </w:p>
    <w:p w14:paraId="4EDDF664">
      <w:pPr>
        <w:rPr>
          <w:b/>
          <w:sz w:val="44"/>
          <w:szCs w:val="44"/>
        </w:rPr>
      </w:pPr>
    </w:p>
    <w:p w14:paraId="457701D3">
      <w:pPr>
        <w:pStyle w:val="10"/>
      </w:pPr>
    </w:p>
    <w:p w14:paraId="48874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商开管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 w:cs="黑体"/>
          <w:sz w:val="32"/>
          <w:szCs w:val="32"/>
        </w:rPr>
        <w:t>〔202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黑体"/>
          <w:sz w:val="32"/>
          <w:szCs w:val="32"/>
        </w:rPr>
        <w:t>〕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黑体"/>
          <w:sz w:val="32"/>
          <w:szCs w:val="32"/>
        </w:rPr>
        <w:t>号</w:t>
      </w:r>
    </w:p>
    <w:p w14:paraId="3C8C5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color w:val="00000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napToGrid/>
          <w:color w:val="000000"/>
          <w:kern w:val="2"/>
          <w:sz w:val="44"/>
          <w:szCs w:val="44"/>
          <w:lang w:eastAsia="zh-CN"/>
        </w:rPr>
        <w:t xml:space="preserve">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51FA5900">
      <w:pPr>
        <w:spacing w:before="87" w:line="195" w:lineRule="auto"/>
        <w:ind w:left="233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山东商河经济开发区关于加快推动高端医</w:t>
      </w:r>
    </w:p>
    <w:p w14:paraId="546A0E1E">
      <w:pPr>
        <w:spacing w:before="1" w:line="233" w:lineRule="auto"/>
        <w:ind w:left="876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药化工产业高质量发展的实施意见</w:t>
      </w:r>
    </w:p>
    <w:p w14:paraId="4C285FBD">
      <w:pPr>
        <w:spacing w:line="322" w:lineRule="auto"/>
        <w:rPr>
          <w:rFonts w:hint="eastAsia" w:ascii="仿宋_GB2312" w:hAnsi="仿宋" w:eastAsia="仿宋_GB2312" w:cs="宋体"/>
          <w:snapToGrid/>
          <w:color w:val="auto"/>
          <w:kern w:val="0"/>
          <w:sz w:val="32"/>
          <w:szCs w:val="32"/>
          <w:highlight w:val="none"/>
          <w:lang w:val="zh-CN" w:eastAsia="zh-CN" w:bidi="ar-SA"/>
        </w:rPr>
      </w:pPr>
    </w:p>
    <w:p w14:paraId="61496CFF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为促进山东商河经济开发区（以下简称开发区）高端医药化工产业高质量发展，强化龙头引领，提速重大项目落地建设、投产达效，参照《关于加快生物医药与大健康产业高质量发展的若干政策措施》（济政发〔2022〕18号）、《济南市支持创新医药高质量发展若干措施（2024年）》（济医保发〔2024〕8号）等上级有关政策，结合开发区实际，制定本实施意见。</w:t>
      </w:r>
    </w:p>
    <w:p w14:paraId="513F9341">
      <w:pPr>
        <w:spacing w:before="50" w:line="227" w:lineRule="auto"/>
        <w:ind w:firstLine="66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一、政策设置</w:t>
      </w:r>
    </w:p>
    <w:p w14:paraId="3728BD72">
      <w:pPr>
        <w:spacing w:before="182" w:line="219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（一）固定资产补贴奖励</w:t>
      </w:r>
    </w:p>
    <w:p w14:paraId="0439E1BA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对固定资产投资达到3亿元及以上、5亿元以下的开发区高端医药化工项目给予固定资产补贴，补贴标准按照不高于项目实际完成固定资产投资总额（以开发区和项目公司双方认可的第三方评估结果为准）的10%，根据项目开工建设并完成固定资产投资纳统入库、经第三方评估机构所认定的固定资产投资实际到位进度、投产并纳入规模以上工业企业、达产情况按比例分阶段拨付，开发区协助项目申请获得的有关山东省、济南市和商河县固定资产投资补贴，以及开发区配套部分，以上合计金额限3500万元就高不重复补贴。</w:t>
      </w:r>
    </w:p>
    <w:p w14:paraId="614987E2">
      <w:pPr>
        <w:pStyle w:val="4"/>
        <w:ind w:left="0" w:leftChars="0" w:firstLine="640" w:firstLineChars="200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kern w:val="0"/>
          <w:sz w:val="32"/>
          <w:szCs w:val="32"/>
          <w:highlight w:val="none"/>
          <w:lang w:val="zh-CN" w:eastAsia="zh-CN" w:bidi="ar-SA"/>
        </w:rPr>
        <w:t>对固定资产投资达到5亿元及以上的开发区高端医药化工项目（1类创新药原料药项目除外）给予固定资产补贴，补贴标准按照不高于项目实际完成固定资产投资总额（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以开发区和项目公司双方认可的第三方评估结果为准）的10%，根据项目开工建设并完成固定资产投资纳统入库、经第三方评估机构所认定的固定资产投资实际到位进度、投产并纳入规模以上工业企业、达产情况按比例分阶段拨付，开发区协助项目申请获得的有关山东省、济南市和商河县固定资产投资补贴，以及开发区配套部分，以上合计金额限4000万元就高不重复补贴；对固定资产投资达到5亿元及以上的开发区高端医药化工项目（1类创新药原料药项目）给予固定资产补贴，补贴标准按照不高于项目实际完成固定资产投资总额（以开发区和项目公司双方认可的第三方评估结果为准）的10%，根据项目开工建设并完成固定资产投资纳统入库、经第三方评估机构所认定的固定资产投资实际到位进度、投产并纳入规模以上工业企业、达产情况按比例分阶段拨付，开发区协助项目申请获得的有关山东省、济南市和商河县固定资产投资补贴，以及开发区配套部分，以上合计金额限6000万元就高不重复补贴。</w:t>
      </w:r>
    </w:p>
    <w:p w14:paraId="63CCC550">
      <w:pPr>
        <w:spacing w:before="182" w:line="219" w:lineRule="auto"/>
        <w:ind w:left="659"/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（二）科技研发补贴</w:t>
      </w:r>
    </w:p>
    <w:p w14:paraId="58E50D42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鼓励项目开展产品研发创新，对落地开发区的高端医药化工项目按照协议约定投产的，在科技研发方面给予一定补贴，补贴年限为项目投产年次年起8年内。按照项目产品的市场前景、科技含量等综合效益，对固定资产投资达到3亿元及以上、5亿元以下的开发区高端医药化工项目，给予每年度不超过15%的科技研发补助，最高不超过400万元；对固定资产投资达到5亿元及以上的开发区高端医药化工项目，给予每年度不超过30%的科技研发补助，最高不超过900万元。</w:t>
      </w:r>
    </w:p>
    <w:p w14:paraId="5A2812C8">
      <w:pPr>
        <w:spacing w:before="182" w:line="219" w:lineRule="auto"/>
        <w:ind w:left="659"/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（三）支持重大成果转化</w:t>
      </w:r>
    </w:p>
    <w:p w14:paraId="3A1BFEB9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支持拥有全球专利或全球专利授权生产证明书、预期有重大突破并具有较强国际竞争力的1类创新药原料药在开发区落地转化生产。分阶段给予成果转化支持，对供应进入临床三期创新药的并承诺在开发区落地转化生产的，给予每个原料药品种2000万元奖励；支持创新产品充分参与国际化竞争，对供应的创新药取得海外授权成果的原料药品种，再给予每个原料药品种2000万元奖励。项目公司获得奖励累计不超过6000万元。</w:t>
      </w:r>
    </w:p>
    <w:p w14:paraId="27780A15">
      <w:pPr>
        <w:spacing w:before="182" w:line="219" w:lineRule="auto"/>
        <w:ind w:left="659"/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（四）核心人才奖励</w:t>
      </w:r>
    </w:p>
    <w:p w14:paraId="47921CD8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对落地开发区的高端医药化工项目按照协议约定投产的，自项目投产之日起5年内给予核心人才奖励，支持项目引进高端人才加快企业发展。对固定资产投资达到3亿元及以上、5亿元以下的开发区高端医药化工项目，开发区每年度给予企业核心人才奖励，核心人才（须与项目公司签订全职劳动协议并在开发区缴纳社保）不超过10名，奖励标准为每人每年度1万元，并为项目提供人才公寓不超过10套，自入住之日起5年内租金给予全额补贴；对固定资产投资达到5亿元及以上的开发区高端医药化工项目，开发区每年度给予企业核心人才奖励，核心人才（须与项目公司签订全职劳动协议并在开发区缴纳社保）不超过20名，奖励标准为每人年度1万元，并为项目提供人才公寓不超过20套，自入住之日起5年内租金给予全额补贴。</w:t>
      </w:r>
    </w:p>
    <w:p w14:paraId="3C7D4339">
      <w:pPr>
        <w:spacing w:before="50" w:line="227" w:lineRule="auto"/>
        <w:ind w:firstLine="668" w:firstLineChars="200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二、附则</w:t>
      </w:r>
    </w:p>
    <w:p w14:paraId="0A958D02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本实施意见的高端医药化工项目是指符合《商河化工产业园产业发展规划（2023-2035年）》中产业总体定位的项目。项目公司不限所有制性质、不限内外资，须具有独立法人资格、实行独立核算，且注册登记地、税务征管关系及统计关系均在开发区范围内。补贴资金来源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>于山东商河经济开发区财力。</w:t>
      </w:r>
    </w:p>
    <w:p w14:paraId="6B21B1B9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本实施意见在开发区规划范围内适用，由山东商河经济开发区管理委员会负责解释。本实施意见有效期内，如遇法律法规或有关政策调整变化的，从其规定。</w:t>
      </w:r>
    </w:p>
    <w:p w14:paraId="0606F5DF">
      <w:pPr>
        <w:pStyle w:val="3"/>
        <w:widowControl w:val="0"/>
        <w:kinsoku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本实施意见自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>2025年4月11日起施行，有效期至2028年4</w:t>
      </w:r>
      <w:bookmarkStart w:id="0" w:name="_GoBack"/>
      <w:bookmarkEnd w:id="0"/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>月10日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。</w:t>
      </w:r>
    </w:p>
    <w:p w14:paraId="54DDAD99">
      <w:pPr>
        <w:pStyle w:val="3"/>
        <w:widowControl w:val="0"/>
        <w:kinsoku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</w:p>
    <w:p w14:paraId="24722A8F">
      <w:pPr>
        <w:pStyle w:val="3"/>
        <w:widowControl w:val="0"/>
        <w:kinsoku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</w:p>
    <w:p w14:paraId="7B5E98F3">
      <w:pPr>
        <w:pStyle w:val="3"/>
        <w:widowControl w:val="0"/>
        <w:kinsoku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山东商河经济开发区管理委员会</w:t>
      </w:r>
    </w:p>
    <w:p w14:paraId="0B94E879">
      <w:pPr>
        <w:pStyle w:val="3"/>
        <w:widowControl w:val="0"/>
        <w:kinsoku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年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月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 w:cs="宋体"/>
          <w:snapToGrid/>
          <w:color w:val="auto"/>
          <w:sz w:val="32"/>
          <w:szCs w:val="32"/>
          <w:highlight w:val="none"/>
          <w:lang w:val="zh-CN" w:eastAsia="zh-CN"/>
        </w:rPr>
        <w:t>日</w:t>
      </w:r>
    </w:p>
    <w:sectPr>
      <w:footerReference r:id="rId5" w:type="default"/>
      <w:pgSz w:w="11906" w:h="16839"/>
      <w:pgMar w:top="1431" w:right="1785" w:bottom="1156" w:left="1785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3A47">
    <w:pPr>
      <w:spacing w:line="168" w:lineRule="auto"/>
      <w:ind w:left="4124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96A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D96A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501EE6"/>
    <w:rsid w:val="09864BCA"/>
    <w:rsid w:val="0AE8533E"/>
    <w:rsid w:val="0C14470F"/>
    <w:rsid w:val="1198418F"/>
    <w:rsid w:val="121E3C9D"/>
    <w:rsid w:val="14991C55"/>
    <w:rsid w:val="161F43DC"/>
    <w:rsid w:val="1A117A54"/>
    <w:rsid w:val="20362A4E"/>
    <w:rsid w:val="20DF4E94"/>
    <w:rsid w:val="28E84B02"/>
    <w:rsid w:val="2D0F08AF"/>
    <w:rsid w:val="34B54432"/>
    <w:rsid w:val="38011F38"/>
    <w:rsid w:val="39C90037"/>
    <w:rsid w:val="3B7D1717"/>
    <w:rsid w:val="3C5C33E5"/>
    <w:rsid w:val="40AA5DB5"/>
    <w:rsid w:val="41654AEA"/>
    <w:rsid w:val="424E1A22"/>
    <w:rsid w:val="4252204A"/>
    <w:rsid w:val="42FF2B01"/>
    <w:rsid w:val="45F20916"/>
    <w:rsid w:val="461A34BD"/>
    <w:rsid w:val="47571378"/>
    <w:rsid w:val="48917E9B"/>
    <w:rsid w:val="4B38326F"/>
    <w:rsid w:val="4BAE567A"/>
    <w:rsid w:val="4D1C0FC8"/>
    <w:rsid w:val="4FF82FCD"/>
    <w:rsid w:val="553E1482"/>
    <w:rsid w:val="606721F1"/>
    <w:rsid w:val="63D80CF3"/>
    <w:rsid w:val="658B24C1"/>
    <w:rsid w:val="66C73B56"/>
    <w:rsid w:val="72B55021"/>
    <w:rsid w:val="75CB06B8"/>
    <w:rsid w:val="76F8229F"/>
    <w:rsid w:val="776158EB"/>
    <w:rsid w:val="7ABC5760"/>
    <w:rsid w:val="7B726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widowControl w:val="0"/>
      <w:spacing w:line="560" w:lineRule="exact"/>
      <w:ind w:left="1680" w:firstLine="800" w:firstLineChars="200"/>
      <w:jc w:val="both"/>
    </w:pPr>
    <w:rPr>
      <w:rFonts w:hint="eastAsia" w:ascii="Times New Roman" w:hAnsi="Times New Roman" w:eastAsia="仿宋_GB2312" w:cs="Times New Roman"/>
      <w:kern w:val="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1909</Words>
  <Characters>1995</Characters>
  <TotalTime>40</TotalTime>
  <ScaleCrop>false</ScaleCrop>
  <LinksUpToDate>false</LinksUpToDate>
  <CharactersWithSpaces>2039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2024-12-09T10:21:00Z</dcterms:created>
  <dc:creator>阿少</dc:creator>
  <cp:lastModifiedBy>婆婆张</cp:lastModifiedBy>
  <cp:lastPrinted>2025-03-11T06:33:00Z</cp:lastPrinted>
  <dcterms:modified xsi:type="dcterms:W3CDTF">2025-03-17T06:31:46Z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2025-01-22T15:54:21Z</vt:filetime>
  </property>
  <property fmtid="{D5CDD505-2E9C-101B-9397-08002B2CF9AE}" pid="4" name="KSOTemplateDocerSaveRecord">
    <vt:lpwstr>eyJoZGlkIjoiZjJlZTg3M2Y2YTk5NDIzZjNlZGVmY2RkNzJiYzZjNzIiLCJ1c2VySWQiOiI2ODk4OTczOTgifQ==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FE26BD71AABD4E4781FD7F119CE93196_13</vt:lpwstr>
  </property>
</Properties>
</file>