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center"/>
        <w:rPr>
          <w:sz w:val="24"/>
          <w:szCs w:val="24"/>
        </w:rPr>
      </w:pPr>
      <w:r>
        <w:rPr>
          <w:rStyle w:val="7"/>
          <w:rFonts w:hint="eastAsia" w:ascii="文星标宋" w:hAnsi="文星标宋" w:eastAsia="文星标宋" w:cs="文星标宋"/>
          <w:i w:val="0"/>
          <w:iCs w:val="0"/>
          <w:caps w:val="0"/>
          <w:color w:val="000000"/>
          <w:spacing w:val="0"/>
          <w:sz w:val="44"/>
          <w:szCs w:val="44"/>
          <w:shd w:val="clear" w:fill="FFFFFF"/>
        </w:rPr>
        <w:t>商河县人民政府办公室202</w:t>
      </w:r>
      <w:r>
        <w:rPr>
          <w:rStyle w:val="7"/>
          <w:rFonts w:hint="eastAsia" w:ascii="文星标宋" w:hAnsi="文星标宋" w:eastAsia="文星标宋" w:cs="文星标宋"/>
          <w:i w:val="0"/>
          <w:iCs w:val="0"/>
          <w:caps w:val="0"/>
          <w:color w:val="000000"/>
          <w:spacing w:val="0"/>
          <w:sz w:val="44"/>
          <w:szCs w:val="44"/>
          <w:shd w:val="clear" w:fill="FFFFFF"/>
          <w:lang w:val="en-US" w:eastAsia="zh-CN"/>
        </w:rPr>
        <w:t>3</w:t>
      </w:r>
      <w:r>
        <w:rPr>
          <w:rStyle w:val="7"/>
          <w:rFonts w:hint="eastAsia" w:ascii="文星标宋" w:hAnsi="文星标宋" w:eastAsia="文星标宋" w:cs="文星标宋"/>
          <w:i w:val="0"/>
          <w:iCs w:val="0"/>
          <w:caps w:val="0"/>
          <w:color w:val="000000"/>
          <w:spacing w:val="0"/>
          <w:sz w:val="44"/>
          <w:szCs w:val="44"/>
          <w:shd w:val="clear" w:fill="FFFFFF"/>
        </w:rPr>
        <w:t>年政府信息公开工作年度报告</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512" w:firstLineChars="200"/>
        <w:jc w:val="both"/>
        <w:rPr>
          <w:rFonts w:hint="eastAsia" w:ascii="微软雅黑" w:hAnsi="微软雅黑" w:eastAsia="微软雅黑" w:cs="微软雅黑"/>
          <w:i w:val="0"/>
          <w:iCs w:val="0"/>
          <w:caps w:val="0"/>
          <w:color w:val="000000"/>
          <w:spacing w:val="0"/>
          <w:sz w:val="24"/>
          <w:szCs w:val="24"/>
          <w:shd w:val="clear" w:fill="FFFFFF"/>
        </w:rPr>
      </w:pPr>
      <w:r>
        <w:rPr>
          <w:rFonts w:hint="eastAsia" w:ascii="微软雅黑" w:hAnsi="微软雅黑" w:eastAsia="微软雅黑" w:cs="微软雅黑"/>
          <w:i w:val="0"/>
          <w:iCs w:val="0"/>
          <w:caps w:val="0"/>
          <w:color w:val="000000"/>
          <w:spacing w:val="0"/>
          <w:sz w:val="24"/>
          <w:szCs w:val="24"/>
          <w:shd w:val="clear" w:fill="FFFFFF"/>
        </w:rPr>
        <w:t>根据《中华人民共和国政府信息公开条例》(国务院令第711号修订)（以下简称《条例》）和《国务院办公厅政府信息与政务公开办公室关于印发&lt;中华人民共和国政府信息公开工作年度报告格式&gt;的通知》（国办公开办函〔2021〕30号）要求，特向社会公布202</w:t>
      </w:r>
      <w:r>
        <w:rPr>
          <w:rFonts w:hint="eastAsia" w:ascii="微软雅黑" w:hAnsi="微软雅黑" w:eastAsia="微软雅黑" w:cs="微软雅黑"/>
          <w:i w:val="0"/>
          <w:iCs w:val="0"/>
          <w:caps w:val="0"/>
          <w:color w:val="000000"/>
          <w:spacing w:val="0"/>
          <w:sz w:val="24"/>
          <w:szCs w:val="24"/>
          <w:shd w:val="clear" w:fill="FFFFFF"/>
          <w:lang w:val="en-US" w:eastAsia="zh-CN"/>
        </w:rPr>
        <w:t>3</w:t>
      </w:r>
      <w:r>
        <w:rPr>
          <w:rFonts w:hint="eastAsia" w:ascii="微软雅黑" w:hAnsi="微软雅黑" w:eastAsia="微软雅黑" w:cs="微软雅黑"/>
          <w:i w:val="0"/>
          <w:iCs w:val="0"/>
          <w:caps w:val="0"/>
          <w:color w:val="000000"/>
          <w:spacing w:val="0"/>
          <w:sz w:val="24"/>
          <w:szCs w:val="24"/>
          <w:shd w:val="clear" w:fill="FFFFFF"/>
        </w:rPr>
        <w:t>年度商河县人民政府办公室政府信息公开年度报告。本报告由总体情况、主动公开政府信息情况、收到和处理政府信息公开申请情况、政府信息公开行政复议及行政诉讼情况、存在的主要问题及改进情况、其他需要报告的事项共六个部分组成。本年度报告电子版可从商河县人民政府门户网站（http://www.shanghe.gov.cn）查阅或下载。</w:t>
      </w:r>
    </w:p>
    <w:p>
      <w:pPr>
        <w:keepNext w:val="0"/>
        <w:keepLines w:val="0"/>
        <w:pageBreakBefore w:val="0"/>
        <w:widowControl w:val="0"/>
        <w:numPr>
          <w:ilvl w:val="0"/>
          <w:numId w:val="0"/>
        </w:numPr>
        <w:kinsoku/>
        <w:wordWrap w:val="0"/>
        <w:overflowPunct/>
        <w:topLinePunct w:val="0"/>
        <w:autoSpaceDE/>
        <w:autoSpaceDN/>
        <w:bidi w:val="0"/>
        <w:adjustRightInd/>
        <w:snapToGrid/>
        <w:ind w:firstLine="512" w:firstLineChars="200"/>
        <w:textAlignment w:val="auto"/>
        <w:rPr>
          <w:rFonts w:hint="default" w:ascii="微软雅黑" w:hAnsi="微软雅黑" w:eastAsia="微软雅黑" w:cs="微软雅黑"/>
          <w:i w:val="0"/>
          <w:iCs w:val="0"/>
          <w:caps w:val="0"/>
          <w:color w:val="000000"/>
          <w:spacing w:val="0"/>
          <w:kern w:val="0"/>
          <w:sz w:val="24"/>
          <w:szCs w:val="24"/>
          <w:shd w:val="clear" w:fill="FFFFFF"/>
          <w:lang w:val="en-US" w:eastAsia="zh-CN" w:bidi="ar"/>
        </w:rPr>
      </w:pPr>
      <w:r>
        <w:rPr>
          <w:rFonts w:hint="eastAsia" w:ascii="微软雅黑" w:hAnsi="微软雅黑" w:eastAsia="微软雅黑" w:cs="微软雅黑"/>
          <w:i w:val="0"/>
          <w:iCs w:val="0"/>
          <w:caps w:val="0"/>
          <w:color w:val="000000"/>
          <w:spacing w:val="0"/>
          <w:kern w:val="0"/>
          <w:sz w:val="24"/>
          <w:szCs w:val="24"/>
          <w:shd w:val="clear" w:fill="FFFFFF"/>
          <w:lang w:val="en-US" w:eastAsia="zh-CN" w:bidi="ar"/>
        </w:rPr>
        <w:t>本报告中所列数据的统计期限自2023年1月1日起至2023年12月31日止。如对本报告有任何疑问，请与商河县人民政府办公室联系（地址：山东省济南市商河县明辉路1867号，电话：0531-84889176；邮箱：shxzfbgsdzzwb@jn.shandong.cn）</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512" w:firstLineChars="200"/>
        <w:jc w:val="both"/>
        <w:rPr>
          <w:rFonts w:hint="eastAsia" w:ascii="微软雅黑" w:hAnsi="微软雅黑" w:eastAsia="微软雅黑" w:cs="微软雅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黑体" w:hAnsi="黑体" w:eastAsia="黑体" w:cs="黑体"/>
          <w:b/>
          <w:bCs/>
          <w:sz w:val="32"/>
          <w:szCs w:val="32"/>
        </w:rPr>
      </w:pPr>
      <w:r>
        <w:rPr>
          <w:rFonts w:hint="eastAsia" w:ascii="黑体" w:hAnsi="黑体" w:eastAsia="黑体" w:cs="黑体"/>
          <w:b/>
          <w:bCs/>
          <w:i w:val="0"/>
          <w:iCs w:val="0"/>
          <w:caps w:val="0"/>
          <w:color w:val="000000"/>
          <w:spacing w:val="0"/>
          <w:sz w:val="32"/>
          <w:szCs w:val="32"/>
          <w:shd w:val="clear" w:fill="FFFFFF"/>
        </w:rPr>
        <w:t>一、总体情况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sz w:val="24"/>
          <w:szCs w:val="24"/>
        </w:rPr>
      </w:pPr>
      <w:r>
        <w:rPr>
          <w:rFonts w:hint="eastAsia" w:ascii="微软雅黑" w:hAnsi="微软雅黑" w:eastAsia="微软雅黑" w:cs="微软雅黑"/>
          <w:i w:val="0"/>
          <w:iCs w:val="0"/>
          <w:caps w:val="0"/>
          <w:color w:val="000000"/>
          <w:spacing w:val="0"/>
          <w:sz w:val="24"/>
          <w:szCs w:val="24"/>
          <w:shd w:val="clear" w:fill="FFFFFF"/>
        </w:rPr>
        <w:t>202</w:t>
      </w:r>
      <w:r>
        <w:rPr>
          <w:rFonts w:hint="eastAsia" w:ascii="微软雅黑" w:hAnsi="微软雅黑" w:eastAsia="微软雅黑" w:cs="微软雅黑"/>
          <w:i w:val="0"/>
          <w:iCs w:val="0"/>
          <w:caps w:val="0"/>
          <w:color w:val="000000"/>
          <w:spacing w:val="0"/>
          <w:sz w:val="24"/>
          <w:szCs w:val="24"/>
          <w:shd w:val="clear" w:fill="FFFFFF"/>
          <w:lang w:val="en-US" w:eastAsia="zh-CN"/>
        </w:rPr>
        <w:t>3</w:t>
      </w:r>
      <w:r>
        <w:rPr>
          <w:rFonts w:hint="eastAsia" w:ascii="微软雅黑" w:hAnsi="微软雅黑" w:eastAsia="微软雅黑" w:cs="微软雅黑"/>
          <w:i w:val="0"/>
          <w:iCs w:val="0"/>
          <w:caps w:val="0"/>
          <w:color w:val="000000"/>
          <w:spacing w:val="0"/>
          <w:sz w:val="24"/>
          <w:szCs w:val="24"/>
          <w:shd w:val="clear" w:fill="FFFFFF"/>
        </w:rPr>
        <w:t>年，商河县人民政府办公室认真</w:t>
      </w:r>
      <w:r>
        <w:rPr>
          <w:rFonts w:hint="eastAsia" w:ascii="微软雅黑" w:hAnsi="微软雅黑" w:eastAsia="微软雅黑" w:cs="微软雅黑"/>
          <w:i w:val="0"/>
          <w:iCs w:val="0"/>
          <w:caps w:val="0"/>
          <w:color w:val="000000"/>
          <w:spacing w:val="0"/>
          <w:sz w:val="24"/>
          <w:szCs w:val="24"/>
          <w:shd w:val="clear" w:fill="FFFFFF"/>
          <w:lang w:val="en-US" w:eastAsia="zh-CN"/>
        </w:rPr>
        <w:t>贯彻</w:t>
      </w:r>
      <w:r>
        <w:rPr>
          <w:rFonts w:hint="eastAsia" w:ascii="微软雅黑" w:hAnsi="微软雅黑" w:eastAsia="微软雅黑" w:cs="微软雅黑"/>
          <w:i w:val="0"/>
          <w:iCs w:val="0"/>
          <w:caps w:val="0"/>
          <w:color w:val="000000"/>
          <w:spacing w:val="0"/>
          <w:sz w:val="24"/>
          <w:szCs w:val="24"/>
          <w:shd w:val="clear" w:fill="FFFFFF"/>
        </w:rPr>
        <w:t>落实</w:t>
      </w:r>
      <w:r>
        <w:rPr>
          <w:rFonts w:hint="eastAsia" w:ascii="微软雅黑" w:hAnsi="微软雅黑" w:eastAsia="微软雅黑" w:cs="微软雅黑"/>
          <w:i w:val="0"/>
          <w:iCs w:val="0"/>
          <w:caps w:val="0"/>
          <w:color w:val="000000"/>
          <w:spacing w:val="0"/>
          <w:sz w:val="24"/>
          <w:szCs w:val="24"/>
          <w:shd w:val="clear" w:fill="FFFFFF"/>
          <w:lang w:val="en-US" w:eastAsia="zh-CN"/>
        </w:rPr>
        <w:t>党中央</w:t>
      </w:r>
      <w:r>
        <w:rPr>
          <w:rFonts w:hint="eastAsia" w:ascii="微软雅黑" w:hAnsi="微软雅黑" w:eastAsia="微软雅黑" w:cs="微软雅黑"/>
          <w:i w:val="0"/>
          <w:iCs w:val="0"/>
          <w:caps w:val="0"/>
          <w:color w:val="000000"/>
          <w:spacing w:val="0"/>
          <w:sz w:val="24"/>
          <w:szCs w:val="24"/>
          <w:shd w:val="clear" w:fill="FFFFFF"/>
        </w:rPr>
        <w:t>、</w:t>
      </w:r>
      <w:r>
        <w:rPr>
          <w:rFonts w:hint="eastAsia" w:ascii="微软雅黑" w:hAnsi="微软雅黑" w:eastAsia="微软雅黑" w:cs="微软雅黑"/>
          <w:i w:val="0"/>
          <w:iCs w:val="0"/>
          <w:caps w:val="0"/>
          <w:color w:val="000000"/>
          <w:spacing w:val="0"/>
          <w:sz w:val="24"/>
          <w:szCs w:val="24"/>
          <w:shd w:val="clear" w:fill="FFFFFF"/>
          <w:lang w:val="en-US" w:eastAsia="zh-CN"/>
        </w:rPr>
        <w:t>国务院、</w:t>
      </w:r>
      <w:r>
        <w:rPr>
          <w:rFonts w:hint="eastAsia" w:ascii="微软雅黑" w:hAnsi="微软雅黑" w:eastAsia="微软雅黑" w:cs="微软雅黑"/>
          <w:i w:val="0"/>
          <w:iCs w:val="0"/>
          <w:caps w:val="0"/>
          <w:color w:val="000000"/>
          <w:spacing w:val="0"/>
          <w:sz w:val="24"/>
          <w:szCs w:val="24"/>
          <w:shd w:val="clear" w:fill="FFFFFF"/>
        </w:rPr>
        <w:t>省、市关于全面推进政务公开工作的系列部署，</w:t>
      </w:r>
      <w:r>
        <w:rPr>
          <w:rFonts w:hint="eastAsia" w:ascii="微软雅黑" w:hAnsi="微软雅黑" w:eastAsia="微软雅黑" w:cs="微软雅黑"/>
          <w:i w:val="0"/>
          <w:iCs w:val="0"/>
          <w:caps w:val="0"/>
          <w:color w:val="000000"/>
          <w:spacing w:val="0"/>
          <w:sz w:val="24"/>
          <w:szCs w:val="24"/>
          <w:shd w:val="clear" w:fill="FFFFFF"/>
          <w:lang w:val="en-US" w:eastAsia="zh-CN"/>
        </w:rPr>
        <w:t>不断开拓创新、强化举措</w:t>
      </w:r>
      <w:r>
        <w:rPr>
          <w:rFonts w:hint="eastAsia" w:ascii="微软雅黑" w:hAnsi="微软雅黑" w:eastAsia="微软雅黑" w:cs="微软雅黑"/>
          <w:i w:val="0"/>
          <w:iCs w:val="0"/>
          <w:caps w:val="0"/>
          <w:color w:val="000000"/>
          <w:spacing w:val="0"/>
          <w:sz w:val="24"/>
          <w:szCs w:val="24"/>
          <w:shd w:val="clear" w:fill="FFFFFF"/>
        </w:rPr>
        <w:t>，</w:t>
      </w:r>
      <w:r>
        <w:rPr>
          <w:rFonts w:hint="eastAsia" w:ascii="微软雅黑" w:hAnsi="微软雅黑" w:eastAsia="微软雅黑" w:cs="微软雅黑"/>
          <w:i w:val="0"/>
          <w:iCs w:val="0"/>
          <w:caps w:val="0"/>
          <w:color w:val="000000"/>
          <w:spacing w:val="0"/>
          <w:sz w:val="24"/>
          <w:szCs w:val="24"/>
          <w:shd w:val="clear" w:fill="FFFFFF"/>
          <w:lang w:val="en-US" w:eastAsia="zh-CN"/>
        </w:rPr>
        <w:t>深化公开的力度和深度，保障公众知情权、参与权、监督权，打造透明、开放、服务型政府</w:t>
      </w:r>
      <w:r>
        <w:rPr>
          <w:rFonts w:hint="eastAsia" w:ascii="微软雅黑" w:hAnsi="微软雅黑" w:eastAsia="微软雅黑" w:cs="微软雅黑"/>
          <w:i w:val="0"/>
          <w:iCs w:val="0"/>
          <w:caps w:val="0"/>
          <w:color w:val="000000"/>
          <w:spacing w:val="0"/>
          <w:sz w:val="24"/>
          <w:szCs w:val="24"/>
          <w:shd w:val="clear" w:fill="FFFFFF"/>
        </w:rPr>
        <w:t>。</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bCs/>
          <w:sz w:val="24"/>
          <w:szCs w:val="24"/>
        </w:rPr>
      </w:pPr>
      <w:r>
        <w:rPr>
          <w:rFonts w:hint="eastAsia" w:ascii="微软雅黑" w:hAnsi="微软雅黑" w:eastAsia="微软雅黑" w:cs="微软雅黑"/>
          <w:b/>
          <w:bCs/>
          <w:i w:val="0"/>
          <w:iCs w:val="0"/>
          <w:caps w:val="0"/>
          <w:color w:val="000000"/>
          <w:spacing w:val="0"/>
          <w:sz w:val="24"/>
          <w:szCs w:val="24"/>
          <w:shd w:val="clear" w:fill="FFFFFF"/>
        </w:rPr>
        <w:t>（一）主动公开政府信息情况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default" w:ascii="微软雅黑" w:hAnsi="微软雅黑" w:eastAsia="微软雅黑" w:cs="微软雅黑"/>
          <w:i w:val="0"/>
          <w:iCs w:val="0"/>
          <w:caps w:val="0"/>
          <w:color w:val="000000"/>
          <w:spacing w:val="0"/>
          <w:sz w:val="24"/>
          <w:szCs w:val="24"/>
          <w:shd w:val="clear" w:fill="FFFFFF"/>
          <w:lang w:val="en-US"/>
        </w:rPr>
      </w:pPr>
      <w:r>
        <w:rPr>
          <w:rFonts w:hint="eastAsia" w:ascii="微软雅黑" w:hAnsi="微软雅黑" w:eastAsia="微软雅黑" w:cs="微软雅黑"/>
          <w:i w:val="0"/>
          <w:iCs w:val="0"/>
          <w:caps w:val="0"/>
          <w:color w:val="000000"/>
          <w:spacing w:val="0"/>
          <w:sz w:val="24"/>
          <w:szCs w:val="24"/>
          <w:shd w:val="clear" w:fill="FFFFFF"/>
        </w:rPr>
        <w:t>一是</w:t>
      </w:r>
      <w:r>
        <w:rPr>
          <w:rFonts w:hint="eastAsia" w:ascii="微软雅黑" w:hAnsi="微软雅黑" w:eastAsia="微软雅黑" w:cs="微软雅黑"/>
          <w:i w:val="0"/>
          <w:iCs w:val="0"/>
          <w:caps w:val="0"/>
          <w:color w:val="000000"/>
          <w:spacing w:val="0"/>
          <w:sz w:val="24"/>
          <w:szCs w:val="24"/>
          <w:shd w:val="clear" w:fill="FFFFFF"/>
          <w:lang w:val="en-US" w:eastAsia="zh-CN"/>
        </w:rPr>
        <w:t>完善基础信息公开。发布</w:t>
      </w:r>
      <w:r>
        <w:rPr>
          <w:rFonts w:hint="eastAsia" w:ascii="微软雅黑" w:hAnsi="微软雅黑" w:eastAsia="微软雅黑" w:cs="微软雅黑"/>
          <w:i w:val="0"/>
          <w:iCs w:val="0"/>
          <w:caps w:val="0"/>
          <w:color w:val="000000"/>
          <w:spacing w:val="0"/>
          <w:sz w:val="24"/>
          <w:szCs w:val="24"/>
          <w:shd w:val="clear" w:fill="FFFFFF"/>
        </w:rPr>
        <w:t>机构职能、政策文件、政府工作报告、政府常务会议、财政预决算等</w:t>
      </w:r>
      <w:r>
        <w:rPr>
          <w:rFonts w:hint="eastAsia" w:ascii="微软雅黑" w:hAnsi="微软雅黑" w:eastAsia="微软雅黑" w:cs="微软雅黑"/>
          <w:i w:val="0"/>
          <w:iCs w:val="0"/>
          <w:caps w:val="0"/>
          <w:color w:val="000000"/>
          <w:spacing w:val="0"/>
          <w:sz w:val="24"/>
          <w:szCs w:val="24"/>
          <w:shd w:val="clear" w:fill="FFFFFF"/>
          <w:lang w:val="en-US" w:eastAsia="zh-CN"/>
        </w:rPr>
        <w:t>基础</w:t>
      </w:r>
      <w:r>
        <w:rPr>
          <w:rFonts w:hint="eastAsia" w:ascii="微软雅黑" w:hAnsi="微软雅黑" w:eastAsia="微软雅黑" w:cs="微软雅黑"/>
          <w:i w:val="0"/>
          <w:iCs w:val="0"/>
          <w:caps w:val="0"/>
          <w:color w:val="000000"/>
          <w:spacing w:val="0"/>
          <w:sz w:val="24"/>
          <w:szCs w:val="24"/>
          <w:shd w:val="clear" w:fill="FFFFFF"/>
        </w:rPr>
        <w:t>信息。通过政府网站主动公开县政府文件</w:t>
      </w:r>
      <w:r>
        <w:rPr>
          <w:rFonts w:hint="eastAsia" w:ascii="微软雅黑" w:hAnsi="微软雅黑" w:eastAsia="微软雅黑" w:cs="微软雅黑"/>
          <w:i w:val="0"/>
          <w:iCs w:val="0"/>
          <w:caps w:val="0"/>
          <w:color w:val="000000"/>
          <w:spacing w:val="0"/>
          <w:sz w:val="24"/>
          <w:szCs w:val="24"/>
          <w:shd w:val="clear" w:fill="FFFFFF"/>
          <w:lang w:val="en-US" w:eastAsia="zh-CN"/>
        </w:rPr>
        <w:t>6</w:t>
      </w:r>
      <w:r>
        <w:rPr>
          <w:rFonts w:hint="eastAsia" w:ascii="微软雅黑" w:hAnsi="微软雅黑" w:eastAsia="微软雅黑" w:cs="微软雅黑"/>
          <w:i w:val="0"/>
          <w:iCs w:val="0"/>
          <w:caps w:val="0"/>
          <w:color w:val="000000"/>
          <w:spacing w:val="0"/>
          <w:sz w:val="24"/>
          <w:szCs w:val="24"/>
          <w:shd w:val="clear" w:fill="FFFFFF"/>
        </w:rPr>
        <w:t>件，县政府办公室文件6件</w:t>
      </w:r>
      <w:r>
        <w:rPr>
          <w:rFonts w:hint="eastAsia" w:ascii="微软雅黑" w:hAnsi="微软雅黑" w:eastAsia="微软雅黑" w:cs="微软雅黑"/>
          <w:i w:val="0"/>
          <w:iCs w:val="0"/>
          <w:caps w:val="0"/>
          <w:color w:val="000000"/>
          <w:spacing w:val="0"/>
          <w:sz w:val="24"/>
          <w:szCs w:val="24"/>
          <w:shd w:val="clear" w:fill="FFFFFF"/>
          <w:lang w:eastAsia="zh-CN"/>
        </w:rPr>
        <w:t>，</w:t>
      </w:r>
      <w:r>
        <w:rPr>
          <w:rFonts w:hint="eastAsia" w:ascii="微软雅黑" w:hAnsi="微软雅黑" w:eastAsia="微软雅黑" w:cs="微软雅黑"/>
          <w:i w:val="0"/>
          <w:iCs w:val="0"/>
          <w:caps w:val="0"/>
          <w:color w:val="000000"/>
          <w:spacing w:val="0"/>
          <w:sz w:val="24"/>
          <w:szCs w:val="24"/>
          <w:shd w:val="clear" w:fill="FFFFFF"/>
        </w:rPr>
        <w:t>202</w:t>
      </w:r>
      <w:r>
        <w:rPr>
          <w:rFonts w:hint="eastAsia" w:ascii="微软雅黑" w:hAnsi="微软雅黑" w:eastAsia="微软雅黑" w:cs="微软雅黑"/>
          <w:i w:val="0"/>
          <w:iCs w:val="0"/>
          <w:caps w:val="0"/>
          <w:color w:val="000000"/>
          <w:spacing w:val="0"/>
          <w:sz w:val="24"/>
          <w:szCs w:val="24"/>
          <w:shd w:val="clear" w:fill="FFFFFF"/>
          <w:lang w:val="en-US" w:eastAsia="zh-CN"/>
        </w:rPr>
        <w:t>3</w:t>
      </w:r>
      <w:r>
        <w:rPr>
          <w:rFonts w:hint="eastAsia" w:ascii="微软雅黑" w:hAnsi="微软雅黑" w:eastAsia="微软雅黑" w:cs="微软雅黑"/>
          <w:i w:val="0"/>
          <w:iCs w:val="0"/>
          <w:caps w:val="0"/>
          <w:color w:val="000000"/>
          <w:spacing w:val="0"/>
          <w:sz w:val="24"/>
          <w:szCs w:val="24"/>
          <w:shd w:val="clear" w:fill="FFFFFF"/>
        </w:rPr>
        <w:t>年编发政府公报4期。二是</w:t>
      </w:r>
      <w:r>
        <w:rPr>
          <w:rFonts w:hint="eastAsia" w:ascii="微软雅黑" w:hAnsi="微软雅黑" w:eastAsia="微软雅黑" w:cs="微软雅黑"/>
          <w:i w:val="0"/>
          <w:iCs w:val="0"/>
          <w:caps w:val="0"/>
          <w:color w:val="000000"/>
          <w:spacing w:val="0"/>
          <w:sz w:val="24"/>
          <w:szCs w:val="24"/>
          <w:shd w:val="clear" w:fill="FFFFFF"/>
          <w:lang w:val="en-US" w:eastAsia="zh-CN"/>
        </w:rPr>
        <w:t>提升解读回应水平。</w:t>
      </w:r>
      <w:r>
        <w:rPr>
          <w:rFonts w:hint="eastAsia" w:ascii="微软雅黑" w:hAnsi="微软雅黑" w:eastAsia="微软雅黑" w:cs="微软雅黑"/>
          <w:i w:val="0"/>
          <w:iCs w:val="0"/>
          <w:caps w:val="0"/>
          <w:color w:val="000000"/>
          <w:spacing w:val="0"/>
          <w:sz w:val="24"/>
          <w:szCs w:val="24"/>
          <w:shd w:val="clear" w:fill="FFFFFF"/>
        </w:rPr>
        <w:t>用群众喜闻乐见的形式予以展示，提高政策解读实效性和可读性。</w:t>
      </w:r>
      <w:r>
        <w:rPr>
          <w:rFonts w:hint="eastAsia" w:ascii="微软雅黑" w:hAnsi="微软雅黑" w:eastAsia="微软雅黑" w:cs="微软雅黑"/>
          <w:i w:val="0"/>
          <w:iCs w:val="0"/>
          <w:caps w:val="0"/>
          <w:color w:val="000000"/>
          <w:spacing w:val="0"/>
          <w:sz w:val="24"/>
          <w:szCs w:val="24"/>
          <w:shd w:val="clear" w:fill="FFFFFF"/>
          <w:lang w:val="en-US" w:eastAsia="zh-CN"/>
        </w:rPr>
        <w:t>多角度、多形式展现，</w:t>
      </w:r>
      <w:r>
        <w:rPr>
          <w:rFonts w:hint="eastAsia" w:ascii="微软雅黑" w:hAnsi="微软雅黑" w:eastAsia="微软雅黑" w:cs="微软雅黑"/>
          <w:i w:val="0"/>
          <w:iCs w:val="0"/>
          <w:caps w:val="0"/>
          <w:color w:val="000000"/>
          <w:spacing w:val="0"/>
          <w:sz w:val="24"/>
          <w:szCs w:val="24"/>
          <w:shd w:val="clear" w:fill="FFFFFF"/>
        </w:rPr>
        <w:t>不断提高解读质量。三是持续做好政府常务会议信息管理。202</w:t>
      </w:r>
      <w:r>
        <w:rPr>
          <w:rFonts w:hint="eastAsia" w:ascii="微软雅黑" w:hAnsi="微软雅黑" w:eastAsia="微软雅黑" w:cs="微软雅黑"/>
          <w:i w:val="0"/>
          <w:iCs w:val="0"/>
          <w:caps w:val="0"/>
          <w:color w:val="000000"/>
          <w:spacing w:val="0"/>
          <w:sz w:val="24"/>
          <w:szCs w:val="24"/>
          <w:shd w:val="clear" w:fill="FFFFFF"/>
          <w:lang w:val="en-US" w:eastAsia="zh-CN"/>
        </w:rPr>
        <w:t>3</w:t>
      </w:r>
      <w:r>
        <w:rPr>
          <w:rFonts w:hint="eastAsia" w:ascii="微软雅黑" w:hAnsi="微软雅黑" w:eastAsia="微软雅黑" w:cs="微软雅黑"/>
          <w:i w:val="0"/>
          <w:iCs w:val="0"/>
          <w:caps w:val="0"/>
          <w:color w:val="000000"/>
          <w:spacing w:val="0"/>
          <w:sz w:val="24"/>
          <w:szCs w:val="24"/>
          <w:shd w:val="clear" w:fill="FFFFFF"/>
        </w:rPr>
        <w:t>年共发布了</w:t>
      </w:r>
      <w:r>
        <w:rPr>
          <w:rFonts w:hint="eastAsia" w:ascii="微软雅黑" w:hAnsi="微软雅黑" w:eastAsia="微软雅黑" w:cs="微软雅黑"/>
          <w:i w:val="0"/>
          <w:iCs w:val="0"/>
          <w:caps w:val="0"/>
          <w:color w:val="000000"/>
          <w:spacing w:val="0"/>
          <w:sz w:val="24"/>
          <w:szCs w:val="24"/>
          <w:shd w:val="clear" w:fill="FFFFFF"/>
          <w:lang w:val="en-US" w:eastAsia="zh-CN"/>
        </w:rPr>
        <w:t>24</w:t>
      </w:r>
      <w:r>
        <w:rPr>
          <w:rFonts w:hint="eastAsia" w:ascii="微软雅黑" w:hAnsi="微软雅黑" w:eastAsia="微软雅黑" w:cs="微软雅黑"/>
          <w:i w:val="0"/>
          <w:iCs w:val="0"/>
          <w:caps w:val="0"/>
          <w:color w:val="000000"/>
          <w:spacing w:val="0"/>
          <w:sz w:val="24"/>
          <w:szCs w:val="24"/>
          <w:shd w:val="clear" w:fill="FFFFFF"/>
        </w:rPr>
        <w:t>期政府常务会议，对政府常务会议内容增加了议题</w:t>
      </w:r>
      <w:r>
        <w:rPr>
          <w:rFonts w:hint="eastAsia" w:ascii="微软雅黑" w:hAnsi="微软雅黑" w:eastAsia="微软雅黑" w:cs="微软雅黑"/>
          <w:i w:val="0"/>
          <w:iCs w:val="0"/>
          <w:caps w:val="0"/>
          <w:color w:val="000000"/>
          <w:spacing w:val="0"/>
          <w:sz w:val="24"/>
          <w:szCs w:val="24"/>
          <w:shd w:val="clear" w:fill="FFFFFF"/>
          <w:lang w:val="en-US" w:eastAsia="zh-CN"/>
        </w:rPr>
        <w:t>报道</w:t>
      </w:r>
      <w:r>
        <w:rPr>
          <w:rFonts w:hint="eastAsia" w:ascii="微软雅黑" w:hAnsi="微软雅黑" w:eastAsia="微软雅黑" w:cs="微软雅黑"/>
          <w:i w:val="0"/>
          <w:iCs w:val="0"/>
          <w:caps w:val="0"/>
          <w:color w:val="000000"/>
          <w:spacing w:val="0"/>
          <w:sz w:val="24"/>
          <w:szCs w:val="24"/>
          <w:shd w:val="clear" w:fill="FFFFFF"/>
        </w:rPr>
        <w:t>、</w:t>
      </w:r>
      <w:r>
        <w:rPr>
          <w:rFonts w:hint="eastAsia" w:ascii="微软雅黑" w:hAnsi="微软雅黑" w:eastAsia="微软雅黑" w:cs="微软雅黑"/>
          <w:i w:val="0"/>
          <w:iCs w:val="0"/>
          <w:caps w:val="0"/>
          <w:color w:val="000000"/>
          <w:spacing w:val="0"/>
          <w:sz w:val="24"/>
          <w:szCs w:val="24"/>
          <w:shd w:val="clear" w:fill="FFFFFF"/>
          <w:lang w:val="en-US" w:eastAsia="zh-CN"/>
        </w:rPr>
        <w:t>列席代表意见和意见反馈，积极回应社会关切，增进公众参与。</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sz w:val="24"/>
          <w:szCs w:val="24"/>
        </w:rPr>
      </w:pPr>
      <w:r>
        <w:pict>
          <v:shape id="_x0000_i1025" o:spt="75" type="#_x0000_t75" style="height:294.85pt;width:470.15pt;" filled="f" stroked="f" coordsize="21600,21600">
            <v:path/>
            <v:fill on="f" focussize="0,0"/>
            <v:stroke on="f"/>
            <v:imagedata r:id="rId6"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bCs/>
          <w:sz w:val="24"/>
          <w:szCs w:val="24"/>
        </w:rPr>
      </w:pPr>
      <w:r>
        <w:rPr>
          <w:rFonts w:hint="eastAsia" w:ascii="微软雅黑" w:hAnsi="微软雅黑" w:eastAsia="微软雅黑" w:cs="微软雅黑"/>
          <w:b/>
          <w:bCs/>
          <w:i w:val="0"/>
          <w:iCs w:val="0"/>
          <w:caps w:val="0"/>
          <w:color w:val="000000"/>
          <w:spacing w:val="0"/>
          <w:sz w:val="24"/>
          <w:szCs w:val="24"/>
          <w:shd w:val="clear" w:fill="FFFFFF"/>
        </w:rPr>
        <w:t>（二）依申请公开情况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sz w:val="24"/>
          <w:szCs w:val="24"/>
        </w:rPr>
      </w:pPr>
      <w:r>
        <w:rPr>
          <w:rFonts w:hint="eastAsia" w:ascii="微软雅黑" w:hAnsi="微软雅黑" w:eastAsia="微软雅黑" w:cs="微软雅黑"/>
          <w:i w:val="0"/>
          <w:iCs w:val="0"/>
          <w:caps w:val="0"/>
          <w:color w:val="000000"/>
          <w:spacing w:val="0"/>
          <w:sz w:val="24"/>
          <w:szCs w:val="24"/>
          <w:shd w:val="clear" w:fill="FFFFFF"/>
          <w:lang w:val="en-US" w:eastAsia="zh-CN"/>
        </w:rPr>
        <w:t>商河县人民政府办公室严格依法依规办理，规范依申请公开答复方式，健全完善依申请公开工作制度。</w:t>
      </w:r>
      <w:r>
        <w:rPr>
          <w:rFonts w:hint="eastAsia" w:ascii="微软雅黑" w:hAnsi="微软雅黑" w:eastAsia="微软雅黑" w:cs="微软雅黑"/>
          <w:i w:val="0"/>
          <w:iCs w:val="0"/>
          <w:caps w:val="0"/>
          <w:color w:val="000000"/>
          <w:spacing w:val="0"/>
          <w:sz w:val="24"/>
          <w:szCs w:val="24"/>
          <w:shd w:val="clear" w:fill="FFFFFF"/>
        </w:rPr>
        <w:t>2023年共收到以县政府为被申请人的依申请公开21件，</w:t>
      </w:r>
      <w:r>
        <w:rPr>
          <w:rFonts w:hint="eastAsia" w:ascii="微软雅黑" w:hAnsi="微软雅黑" w:eastAsia="微软雅黑" w:cs="微软雅黑"/>
          <w:i w:val="0"/>
          <w:iCs w:val="0"/>
          <w:caps w:val="0"/>
          <w:color w:val="000000"/>
          <w:spacing w:val="0"/>
          <w:sz w:val="24"/>
          <w:szCs w:val="24"/>
          <w:shd w:val="clear" w:fill="FFFFFF"/>
          <w:lang w:val="en-US" w:eastAsia="zh-CN"/>
        </w:rPr>
        <w:t>同比去年增加7件。</w:t>
      </w:r>
      <w:r>
        <w:rPr>
          <w:rFonts w:hint="eastAsia" w:ascii="微软雅黑" w:hAnsi="微软雅黑" w:eastAsia="微软雅黑" w:cs="微软雅黑"/>
          <w:i w:val="0"/>
          <w:iCs w:val="0"/>
          <w:caps w:val="0"/>
          <w:color w:val="000000"/>
          <w:spacing w:val="0"/>
          <w:sz w:val="24"/>
          <w:szCs w:val="24"/>
          <w:shd w:val="clear" w:fill="FFFFFF"/>
        </w:rPr>
        <w:t>21件已按期回复，完成13件省、市协助调查。</w:t>
      </w:r>
      <w:r>
        <w:rPr>
          <w:rFonts w:ascii="微软雅黑" w:hAnsi="微软雅黑" w:eastAsia="微软雅黑" w:cs="微软雅黑"/>
          <w:i w:val="0"/>
          <w:iCs w:val="0"/>
          <w:caps w:val="0"/>
          <w:color w:val="000000"/>
          <w:spacing w:val="0"/>
          <w:sz w:val="24"/>
          <w:szCs w:val="24"/>
          <w:shd w:val="clear" w:fill="FFFFFF"/>
        </w:rPr>
        <w:t>其中网络申请</w:t>
      </w:r>
      <w:r>
        <w:rPr>
          <w:rFonts w:hint="eastAsia" w:ascii="微软雅黑" w:hAnsi="微软雅黑" w:eastAsia="微软雅黑" w:cs="微软雅黑"/>
          <w:i w:val="0"/>
          <w:iCs w:val="0"/>
          <w:caps w:val="0"/>
          <w:color w:val="000000"/>
          <w:spacing w:val="0"/>
          <w:sz w:val="24"/>
          <w:szCs w:val="24"/>
          <w:shd w:val="clear" w:fill="FFFFFF"/>
          <w:lang w:val="en-US" w:eastAsia="zh-CN"/>
        </w:rPr>
        <w:t>2</w:t>
      </w:r>
      <w:r>
        <w:rPr>
          <w:rFonts w:hint="eastAsia" w:ascii="微软雅黑" w:hAnsi="微软雅黑" w:eastAsia="微软雅黑" w:cs="微软雅黑"/>
          <w:i w:val="0"/>
          <w:iCs w:val="0"/>
          <w:caps w:val="0"/>
          <w:color w:val="000000"/>
          <w:spacing w:val="0"/>
          <w:sz w:val="24"/>
          <w:szCs w:val="24"/>
          <w:shd w:val="clear" w:fill="FFFFFF"/>
        </w:rPr>
        <w:t>件、信件申请件</w:t>
      </w:r>
      <w:r>
        <w:rPr>
          <w:rFonts w:hint="eastAsia" w:ascii="微软雅黑" w:hAnsi="微软雅黑" w:eastAsia="微软雅黑" w:cs="微软雅黑"/>
          <w:i w:val="0"/>
          <w:iCs w:val="0"/>
          <w:caps w:val="0"/>
          <w:color w:val="000000"/>
          <w:spacing w:val="0"/>
          <w:sz w:val="24"/>
          <w:szCs w:val="24"/>
          <w:shd w:val="clear" w:fill="FFFFFF"/>
          <w:lang w:val="en-US" w:eastAsia="zh-CN"/>
        </w:rPr>
        <w:t>19</w:t>
      </w:r>
      <w:r>
        <w:rPr>
          <w:rFonts w:hint="eastAsia" w:ascii="微软雅黑" w:hAnsi="微软雅黑" w:eastAsia="微软雅黑" w:cs="微软雅黑"/>
          <w:i w:val="0"/>
          <w:iCs w:val="0"/>
          <w:caps w:val="0"/>
          <w:color w:val="000000"/>
          <w:spacing w:val="0"/>
          <w:sz w:val="24"/>
          <w:szCs w:val="24"/>
          <w:shd w:val="clear" w:fill="FFFFFF"/>
        </w:rPr>
        <w:t>件</w:t>
      </w:r>
      <w:r>
        <w:rPr>
          <w:rFonts w:hint="eastAsia" w:ascii="微软雅黑" w:hAnsi="微软雅黑" w:eastAsia="微软雅黑" w:cs="微软雅黑"/>
          <w:i w:val="0"/>
          <w:iCs w:val="0"/>
          <w:caps w:val="0"/>
          <w:color w:val="000000"/>
          <w:spacing w:val="0"/>
          <w:sz w:val="24"/>
          <w:szCs w:val="24"/>
          <w:shd w:val="clear" w:fill="FFFFFF"/>
          <w:lang w:eastAsia="zh-CN"/>
        </w:rPr>
        <w:t>。</w:t>
      </w:r>
      <w:r>
        <w:rPr>
          <w:rFonts w:hint="eastAsia" w:ascii="微软雅黑" w:hAnsi="微软雅黑" w:eastAsia="微软雅黑" w:cs="微软雅黑"/>
          <w:i w:val="0"/>
          <w:iCs w:val="0"/>
          <w:caps w:val="0"/>
          <w:color w:val="000000"/>
          <w:spacing w:val="0"/>
          <w:sz w:val="24"/>
          <w:szCs w:val="24"/>
          <w:shd w:val="clear" w:fill="FFFFFF"/>
        </w:rPr>
        <w:t>从答复情况来看，予以公开</w:t>
      </w:r>
      <w:r>
        <w:rPr>
          <w:rFonts w:hint="eastAsia" w:ascii="微软雅黑" w:hAnsi="微软雅黑" w:eastAsia="微软雅黑" w:cs="微软雅黑"/>
          <w:i w:val="0"/>
          <w:iCs w:val="0"/>
          <w:caps w:val="0"/>
          <w:color w:val="000000"/>
          <w:spacing w:val="0"/>
          <w:sz w:val="24"/>
          <w:szCs w:val="24"/>
          <w:shd w:val="clear" w:fill="FFFFFF"/>
          <w:lang w:val="en-US" w:eastAsia="zh-CN"/>
        </w:rPr>
        <w:t>7</w:t>
      </w:r>
      <w:r>
        <w:rPr>
          <w:rFonts w:hint="eastAsia" w:ascii="微软雅黑" w:hAnsi="微软雅黑" w:eastAsia="微软雅黑" w:cs="微软雅黑"/>
          <w:i w:val="0"/>
          <w:iCs w:val="0"/>
          <w:caps w:val="0"/>
          <w:color w:val="000000"/>
          <w:spacing w:val="0"/>
          <w:sz w:val="24"/>
          <w:szCs w:val="24"/>
          <w:shd w:val="clear" w:fill="FFFFFF"/>
        </w:rPr>
        <w:t>件、部分公开</w:t>
      </w:r>
      <w:r>
        <w:rPr>
          <w:rFonts w:hint="eastAsia" w:ascii="微软雅黑" w:hAnsi="微软雅黑" w:eastAsia="微软雅黑" w:cs="微软雅黑"/>
          <w:i w:val="0"/>
          <w:iCs w:val="0"/>
          <w:caps w:val="0"/>
          <w:color w:val="000000"/>
          <w:spacing w:val="0"/>
          <w:sz w:val="24"/>
          <w:szCs w:val="24"/>
          <w:shd w:val="clear" w:fill="FFFFFF"/>
          <w:lang w:val="en-US" w:eastAsia="zh-CN"/>
        </w:rPr>
        <w:t>11</w:t>
      </w:r>
      <w:r>
        <w:rPr>
          <w:rFonts w:hint="eastAsia" w:ascii="微软雅黑" w:hAnsi="微软雅黑" w:eastAsia="微软雅黑" w:cs="微软雅黑"/>
          <w:i w:val="0"/>
          <w:iCs w:val="0"/>
          <w:caps w:val="0"/>
          <w:color w:val="000000"/>
          <w:spacing w:val="0"/>
          <w:sz w:val="24"/>
          <w:szCs w:val="24"/>
          <w:shd w:val="clear" w:fill="FFFFFF"/>
        </w:rPr>
        <w:t>件、无法提供</w:t>
      </w:r>
      <w:r>
        <w:rPr>
          <w:rFonts w:hint="eastAsia" w:ascii="微软雅黑" w:hAnsi="微软雅黑" w:eastAsia="微软雅黑" w:cs="微软雅黑"/>
          <w:i w:val="0"/>
          <w:iCs w:val="0"/>
          <w:caps w:val="0"/>
          <w:color w:val="000000"/>
          <w:spacing w:val="0"/>
          <w:sz w:val="24"/>
          <w:szCs w:val="24"/>
          <w:shd w:val="clear" w:fill="FFFFFF"/>
          <w:lang w:val="en-US" w:eastAsia="zh-CN"/>
        </w:rPr>
        <w:t>3</w:t>
      </w:r>
      <w:r>
        <w:rPr>
          <w:rFonts w:hint="eastAsia" w:ascii="微软雅黑" w:hAnsi="微软雅黑" w:eastAsia="微软雅黑" w:cs="微软雅黑"/>
          <w:i w:val="0"/>
          <w:iCs w:val="0"/>
          <w:caps w:val="0"/>
          <w:color w:val="000000"/>
          <w:spacing w:val="0"/>
          <w:sz w:val="24"/>
          <w:szCs w:val="24"/>
          <w:shd w:val="clear" w:fill="FFFFFF"/>
        </w:rPr>
        <w:t>件。全年未发生因政府信息公开被行政复议、提起行政诉讼情况。</w:t>
      </w:r>
      <w:r>
        <w:rPr>
          <w:rFonts w:hint="eastAsia" w:ascii="微软雅黑" w:hAnsi="微软雅黑" w:eastAsia="微软雅黑" w:cs="微软雅黑"/>
          <w:i w:val="0"/>
          <w:iCs w:val="0"/>
          <w:caps w:val="0"/>
          <w:color w:val="000000"/>
          <w:spacing w:val="0"/>
          <w:sz w:val="24"/>
          <w:szCs w:val="24"/>
          <w:shd w:val="clear" w:fill="FFFFFF"/>
          <w:lang w:val="en-US" w:eastAsia="zh-CN"/>
        </w:rPr>
        <w:t>县</w:t>
      </w:r>
      <w:r>
        <w:rPr>
          <w:rFonts w:hint="eastAsia" w:ascii="微软雅黑" w:hAnsi="微软雅黑" w:eastAsia="微软雅黑" w:cs="微软雅黑"/>
          <w:i w:val="0"/>
          <w:iCs w:val="0"/>
          <w:caps w:val="0"/>
          <w:color w:val="000000"/>
          <w:spacing w:val="0"/>
          <w:sz w:val="24"/>
          <w:szCs w:val="24"/>
          <w:shd w:val="clear" w:fill="FFFFFF"/>
        </w:rPr>
        <w:t>政府办公室依申请公开政府信息未收取任何费用。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sz w:val="24"/>
          <w:szCs w:val="24"/>
          <w:lang w:eastAsia="zh-CN"/>
        </w:rPr>
      </w:pPr>
      <w:r>
        <w:pict>
          <v:shape id="_x0000_i1026" o:spt="75" type="#_x0000_t75" style="height:264pt;width:463.4pt;" filled="f" o:preferrelative="t" stroked="f" coordsize="21600,21600">
            <v:path/>
            <v:fill on="f" focussize="0,0"/>
            <v:stroke on="f"/>
            <v:imagedata r:id="rId7"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bCs/>
          <w:i w:val="0"/>
          <w:iCs w:val="0"/>
          <w:caps w:val="0"/>
          <w:color w:val="000000"/>
          <w:spacing w:val="0"/>
          <w:sz w:val="24"/>
          <w:szCs w:val="24"/>
          <w:shd w:val="clear" w:fill="FFFFFF"/>
        </w:rPr>
      </w:pPr>
      <w:r>
        <w:rPr>
          <w:rFonts w:hint="eastAsia" w:ascii="微软雅黑" w:hAnsi="微软雅黑" w:eastAsia="微软雅黑" w:cs="微软雅黑"/>
          <w:b/>
          <w:bCs/>
          <w:i w:val="0"/>
          <w:iCs w:val="0"/>
          <w:caps w:val="0"/>
          <w:color w:val="000000"/>
          <w:spacing w:val="0"/>
          <w:sz w:val="24"/>
          <w:szCs w:val="24"/>
          <w:shd w:val="clear" w:fill="FFFFFF"/>
        </w:rPr>
        <w:t>（三）政府信息管理情况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default" w:ascii="微软雅黑" w:hAnsi="微软雅黑" w:eastAsia="微软雅黑" w:cs="微软雅黑"/>
          <w:i w:val="0"/>
          <w:iCs w:val="0"/>
          <w:caps w:val="0"/>
          <w:color w:val="000000"/>
          <w:spacing w:val="0"/>
          <w:sz w:val="24"/>
          <w:szCs w:val="24"/>
          <w:shd w:val="clear" w:fill="FFFFFF"/>
          <w:lang w:val="en-US" w:eastAsia="zh-CN"/>
        </w:rPr>
      </w:pPr>
      <w:r>
        <w:rPr>
          <w:rFonts w:hint="eastAsia" w:ascii="微软雅黑" w:hAnsi="微软雅黑" w:eastAsia="微软雅黑" w:cs="微软雅黑"/>
          <w:i w:val="0"/>
          <w:iCs w:val="0"/>
          <w:caps w:val="0"/>
          <w:color w:val="000000"/>
          <w:spacing w:val="0"/>
          <w:sz w:val="24"/>
          <w:szCs w:val="24"/>
          <w:shd w:val="clear" w:fill="FFFFFF"/>
          <w:lang w:val="en-US" w:eastAsia="zh-CN"/>
        </w:rPr>
        <w:t>加强政府信息管理，规范信息发布内容及审核，“三审三校”制度，从源头上减少错敏信息的产生，保证信息发布的准确性、有效性、权威性。</w:t>
      </w:r>
      <w:r>
        <w:rPr>
          <w:rFonts w:hint="eastAsia" w:ascii="微软雅黑" w:hAnsi="微软雅黑" w:eastAsia="微软雅黑" w:cs="微软雅黑"/>
          <w:i w:val="0"/>
          <w:iCs w:val="0"/>
          <w:caps w:val="0"/>
          <w:color w:val="000000"/>
          <w:spacing w:val="0"/>
          <w:sz w:val="24"/>
          <w:szCs w:val="24"/>
          <w:shd w:val="clear" w:fill="FFFFFF"/>
        </w:rPr>
        <w:t>梳理归集</w:t>
      </w:r>
      <w:r>
        <w:rPr>
          <w:rFonts w:hint="eastAsia" w:ascii="微软雅黑" w:hAnsi="微软雅黑" w:eastAsia="微软雅黑" w:cs="微软雅黑"/>
          <w:i w:val="0"/>
          <w:iCs w:val="0"/>
          <w:caps w:val="0"/>
          <w:color w:val="000000"/>
          <w:spacing w:val="0"/>
          <w:sz w:val="24"/>
          <w:szCs w:val="24"/>
          <w:shd w:val="clear" w:fill="FFFFFF"/>
          <w:lang w:val="en-US" w:eastAsia="zh-CN"/>
        </w:rPr>
        <w:t>政策文件、规范性文件</w:t>
      </w:r>
      <w:r>
        <w:rPr>
          <w:rFonts w:hint="eastAsia" w:ascii="微软雅黑" w:hAnsi="微软雅黑" w:eastAsia="微软雅黑" w:cs="微软雅黑"/>
          <w:i w:val="0"/>
          <w:iCs w:val="0"/>
          <w:caps w:val="0"/>
          <w:color w:val="000000"/>
          <w:spacing w:val="0"/>
          <w:sz w:val="24"/>
          <w:szCs w:val="24"/>
          <w:shd w:val="clear" w:fill="FFFFFF"/>
        </w:rPr>
        <w:t>，集中规范上传至山东省政府文件库平台</w:t>
      </w:r>
      <w:r>
        <w:rPr>
          <w:rFonts w:hint="eastAsia" w:ascii="微软雅黑" w:hAnsi="微软雅黑" w:eastAsia="微软雅黑" w:cs="微软雅黑"/>
          <w:i w:val="0"/>
          <w:iCs w:val="0"/>
          <w:caps w:val="0"/>
          <w:color w:val="000000"/>
          <w:spacing w:val="0"/>
          <w:sz w:val="24"/>
          <w:szCs w:val="24"/>
          <w:shd w:val="clear" w:fill="FFFFFF"/>
          <w:lang w:val="en-US" w:eastAsia="zh-CN"/>
        </w:rPr>
        <w:t>和济南市政府文件库平台，实现统一管理。</w:t>
      </w:r>
      <w:r>
        <w:rPr>
          <w:rFonts w:hint="eastAsia" w:ascii="微软雅黑" w:hAnsi="微软雅黑" w:eastAsia="微软雅黑" w:cs="微软雅黑"/>
          <w:i w:val="0"/>
          <w:iCs w:val="0"/>
          <w:caps w:val="0"/>
          <w:color w:val="000000"/>
          <w:spacing w:val="0"/>
          <w:sz w:val="24"/>
          <w:szCs w:val="24"/>
          <w:shd w:val="clear" w:fill="FFFFFF"/>
        </w:rPr>
        <w:t>实现</w:t>
      </w:r>
      <w:r>
        <w:rPr>
          <w:rFonts w:hint="eastAsia" w:ascii="微软雅黑" w:hAnsi="微软雅黑" w:eastAsia="微软雅黑" w:cs="微软雅黑"/>
          <w:i w:val="0"/>
          <w:iCs w:val="0"/>
          <w:caps w:val="0"/>
          <w:color w:val="000000"/>
          <w:spacing w:val="0"/>
          <w:sz w:val="24"/>
          <w:szCs w:val="24"/>
          <w:shd w:val="clear" w:fill="FFFFFF"/>
          <w:lang w:val="en-US" w:eastAsia="zh-CN"/>
        </w:rPr>
        <w:t>政府信息的精准推送、智能查询，方便公众查询获取。</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i w:val="0"/>
          <w:iCs w:val="0"/>
          <w:caps w:val="0"/>
          <w:color w:val="000000"/>
          <w:spacing w:val="0"/>
          <w:sz w:val="24"/>
          <w:szCs w:val="24"/>
          <w:shd w:val="clear" w:fill="FFFFFF"/>
        </w:rPr>
      </w:pPr>
      <w:r>
        <w:pict>
          <v:shape id="_x0000_i1027" o:spt="75" type="#_x0000_t75" style="height:278.7pt;width:466.6pt;" filled="f" o:preferrelative="t" stroked="f" coordsize="21600,21600">
            <v:path/>
            <v:fill on="f" focussize="0,0"/>
            <v:stroke on="f"/>
            <v:imagedata r:id="rId8"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000000"/>
          <w:spacing w:val="0"/>
          <w:sz w:val="24"/>
          <w:szCs w:val="24"/>
          <w:shd w:val="clear" w:fill="FFFFFF"/>
        </w:rPr>
      </w:pPr>
    </w:p>
    <w:p>
      <w:pPr>
        <w:pStyle w:val="4"/>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bCs/>
          <w:i w:val="0"/>
          <w:iCs w:val="0"/>
          <w:caps w:val="0"/>
          <w:color w:val="000000"/>
          <w:spacing w:val="0"/>
          <w:sz w:val="24"/>
          <w:szCs w:val="24"/>
          <w:shd w:val="clear" w:fill="FFFFFF"/>
        </w:rPr>
      </w:pPr>
      <w:r>
        <w:rPr>
          <w:rFonts w:hint="eastAsia" w:ascii="微软雅黑" w:hAnsi="微软雅黑" w:eastAsia="微软雅黑" w:cs="微软雅黑"/>
          <w:b/>
          <w:bCs/>
          <w:i w:val="0"/>
          <w:iCs w:val="0"/>
          <w:caps w:val="0"/>
          <w:color w:val="000000"/>
          <w:spacing w:val="0"/>
          <w:sz w:val="24"/>
          <w:szCs w:val="24"/>
          <w:shd w:val="clear" w:fill="FFFFFF"/>
        </w:rPr>
        <w:t>公开平台建设情况</w:t>
      </w:r>
    </w:p>
    <w:p>
      <w:pPr>
        <w:pStyle w:val="4"/>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rightChars="0" w:firstLine="512" w:firstLineChars="200"/>
        <w:jc w:val="both"/>
        <w:rPr>
          <w:rFonts w:hint="default" w:ascii="微软雅黑" w:hAnsi="微软雅黑" w:eastAsia="微软雅黑" w:cs="微软雅黑"/>
          <w:i w:val="0"/>
          <w:iCs w:val="0"/>
          <w:caps w:val="0"/>
          <w:color w:val="000000"/>
          <w:spacing w:val="0"/>
          <w:sz w:val="24"/>
          <w:szCs w:val="24"/>
          <w:shd w:val="clear" w:fill="FFFFFF"/>
          <w:lang w:val="en-US" w:eastAsia="zh-CN"/>
        </w:rPr>
      </w:pPr>
      <w:r>
        <w:rPr>
          <w:rFonts w:hint="eastAsia" w:ascii="微软雅黑" w:hAnsi="微软雅黑" w:eastAsia="微软雅黑" w:cs="微软雅黑"/>
          <w:i w:val="0"/>
          <w:iCs w:val="0"/>
          <w:caps w:val="0"/>
          <w:color w:val="000000"/>
          <w:spacing w:val="0"/>
          <w:sz w:val="24"/>
          <w:szCs w:val="24"/>
          <w:shd w:val="clear" w:fill="FFFFFF"/>
          <w:lang w:val="en-US" w:eastAsia="zh-CN"/>
        </w:rPr>
        <w:t>建设政府公报、政策文件、政策解读、行政执法公示、财政信息、建议提案、重大决策预公开、政策问答平台、优化营商环境等专题专栏。</w:t>
      </w:r>
      <w:r>
        <w:rPr>
          <w:rFonts w:ascii="微软雅黑" w:hAnsi="微软雅黑" w:eastAsia="微软雅黑" w:cs="微软雅黑"/>
          <w:i w:val="0"/>
          <w:iCs w:val="0"/>
          <w:caps w:val="0"/>
          <w:color w:val="000000"/>
          <w:spacing w:val="0"/>
          <w:sz w:val="24"/>
          <w:szCs w:val="24"/>
          <w:shd w:val="clear" w:fill="FFFFFF"/>
        </w:rPr>
        <w:t>将</w:t>
      </w:r>
      <w:r>
        <w:rPr>
          <w:rFonts w:hint="eastAsia" w:ascii="微软雅黑" w:hAnsi="微软雅黑" w:eastAsia="微软雅黑" w:cs="微软雅黑"/>
          <w:i w:val="0"/>
          <w:iCs w:val="0"/>
          <w:caps w:val="0"/>
          <w:color w:val="000000"/>
          <w:spacing w:val="0"/>
          <w:sz w:val="24"/>
          <w:szCs w:val="24"/>
          <w:shd w:val="clear" w:fill="FFFFFF"/>
        </w:rPr>
        <w:t>政务新媒体</w:t>
      </w:r>
      <w:r>
        <w:rPr>
          <w:rFonts w:hint="eastAsia" w:ascii="微软雅黑" w:hAnsi="微软雅黑" w:eastAsia="微软雅黑" w:cs="微软雅黑"/>
          <w:i w:val="0"/>
          <w:iCs w:val="0"/>
          <w:caps w:val="0"/>
          <w:color w:val="000000"/>
          <w:spacing w:val="0"/>
          <w:sz w:val="24"/>
          <w:szCs w:val="24"/>
          <w:shd w:val="clear" w:fill="FFFFFF"/>
          <w:lang w:val="en-US" w:eastAsia="zh-CN"/>
        </w:rPr>
        <w:t>在县</w:t>
      </w:r>
      <w:r>
        <w:rPr>
          <w:rFonts w:hint="eastAsia" w:ascii="微软雅黑" w:hAnsi="微软雅黑" w:eastAsia="微软雅黑" w:cs="微软雅黑"/>
          <w:i w:val="0"/>
          <w:iCs w:val="0"/>
          <w:caps w:val="0"/>
          <w:color w:val="000000"/>
          <w:spacing w:val="0"/>
          <w:sz w:val="24"/>
          <w:szCs w:val="24"/>
          <w:shd w:val="clear" w:fill="FFFFFF"/>
        </w:rPr>
        <w:t>政府网</w:t>
      </w:r>
      <w:r>
        <w:rPr>
          <w:rFonts w:hint="eastAsia" w:ascii="微软雅黑" w:hAnsi="微软雅黑" w:eastAsia="微软雅黑" w:cs="微软雅黑"/>
          <w:i w:val="0"/>
          <w:iCs w:val="0"/>
          <w:caps w:val="0"/>
          <w:color w:val="000000"/>
          <w:spacing w:val="0"/>
          <w:sz w:val="24"/>
          <w:szCs w:val="24"/>
          <w:shd w:val="clear" w:fill="FFFFFF"/>
          <w:lang w:val="en-US" w:eastAsia="zh-CN"/>
        </w:rPr>
        <w:t>站以政务新媒体</w:t>
      </w:r>
      <w:r>
        <w:rPr>
          <w:rFonts w:hint="eastAsia" w:ascii="微软雅黑" w:hAnsi="微软雅黑" w:eastAsia="微软雅黑" w:cs="微软雅黑"/>
          <w:i w:val="0"/>
          <w:iCs w:val="0"/>
          <w:caps w:val="0"/>
          <w:color w:val="000000"/>
          <w:spacing w:val="0"/>
          <w:sz w:val="24"/>
          <w:szCs w:val="24"/>
          <w:shd w:val="clear" w:fill="FFFFFF"/>
        </w:rPr>
        <w:t>矩阵展示。</w:t>
      </w:r>
      <w:r>
        <w:rPr>
          <w:rFonts w:hint="eastAsia" w:ascii="微软雅黑" w:hAnsi="微软雅黑" w:eastAsia="微软雅黑" w:cs="微软雅黑"/>
          <w:i w:val="0"/>
          <w:iCs w:val="0"/>
          <w:caps w:val="0"/>
          <w:color w:val="000000"/>
          <w:spacing w:val="0"/>
          <w:sz w:val="24"/>
          <w:szCs w:val="24"/>
          <w:shd w:val="clear" w:fill="FFFFFF"/>
          <w:lang w:val="en-US" w:eastAsia="zh-CN"/>
        </w:rPr>
        <w:t>按季度编辑并发布政府公报4期。在政府信息公开指南中公布政府信息公开查阅场所。建立政务公开长者专区，为老年人提供全方位服务。</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pPr>
      <w:r>
        <w:pict>
          <v:shape id="_x0000_i1028" o:spt="75" type="#_x0000_t75" style="height:292.3pt;width:469.7pt;" filled="f" stroked="f" coordsize="21600,21600">
            <v:path/>
            <v:fill on="f" focussize="0,0"/>
            <v:stroke on="f"/>
            <v:imagedata r:id="rId9"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pPr>
      <w:r>
        <w:pict>
          <v:shape id="_x0000_i1029" o:spt="75" type="#_x0000_t75" style="height:260.3pt;width:469.55pt;" filled="f" stroked="f" coordsize="21600,21600">
            <v:path/>
            <v:fill on="f" focussize="0,0"/>
            <v:stroke on="f"/>
            <v:imagedata r:id="rId10"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pPr>
      <w:r>
        <w:pict>
          <v:shape id="_x0000_i1030" o:spt="75" type="#_x0000_t75" style="height:267.15pt;width:470.45pt;" filled="f" stroked="f" coordsize="21600,21600">
            <v:path/>
            <v:fill on="f" focussize="0,0"/>
            <v:stroke on="f"/>
            <v:imagedata r:id="rId11"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rPr>
      </w:pPr>
      <w:r>
        <w:pict>
          <v:shape id="_x0000_i1031" o:spt="75" type="#_x0000_t75" style="height:254.8pt;width:470.2pt;" filled="f" stroked="f" coordsize="21600,21600">
            <v:path/>
            <v:fill on="f" focussize="0,0"/>
            <v:stroke on="f"/>
            <v:imagedata r:id="rId12" o:title=""/>
            <o:lock v:ext="edit" aspectratio="t"/>
            <w10:wrap type="none"/>
            <w10:anchorlock/>
          </v:shape>
        </w:pic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b/>
          <w:bCs/>
          <w:sz w:val="24"/>
          <w:szCs w:val="24"/>
        </w:rPr>
      </w:pPr>
      <w:r>
        <w:rPr>
          <w:rFonts w:hint="eastAsia" w:ascii="微软雅黑" w:hAnsi="微软雅黑" w:eastAsia="微软雅黑" w:cs="微软雅黑"/>
          <w:b/>
          <w:bCs/>
          <w:i w:val="0"/>
          <w:iCs w:val="0"/>
          <w:caps w:val="0"/>
          <w:color w:val="000000"/>
          <w:spacing w:val="0"/>
          <w:sz w:val="24"/>
          <w:szCs w:val="24"/>
          <w:shd w:val="clear" w:fill="FFFFFF"/>
        </w:rPr>
        <w:t>（五）监督保障情况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000000"/>
          <w:spacing w:val="0"/>
          <w:sz w:val="24"/>
          <w:szCs w:val="24"/>
          <w:shd w:val="clear" w:fill="FFFFFF"/>
        </w:rPr>
      </w:pPr>
      <w:r>
        <w:rPr>
          <w:rFonts w:hint="eastAsia" w:ascii="微软雅黑" w:hAnsi="微软雅黑" w:eastAsia="微软雅黑" w:cs="微软雅黑"/>
          <w:i w:val="0"/>
          <w:iCs w:val="0"/>
          <w:caps w:val="0"/>
          <w:color w:val="000000"/>
          <w:spacing w:val="0"/>
          <w:sz w:val="24"/>
          <w:szCs w:val="24"/>
          <w:shd w:val="clear" w:fill="FFFFFF"/>
          <w:lang w:val="en-US" w:eastAsia="zh-CN"/>
        </w:rPr>
        <w:t>健全工作机制，明确工作要求。</w:t>
      </w:r>
      <w:r>
        <w:rPr>
          <w:rFonts w:hint="eastAsia" w:ascii="微软雅黑" w:hAnsi="微软雅黑" w:eastAsia="微软雅黑" w:cs="微软雅黑"/>
          <w:i w:val="0"/>
          <w:iCs w:val="0"/>
          <w:caps w:val="0"/>
          <w:color w:val="000000"/>
          <w:spacing w:val="0"/>
          <w:sz w:val="24"/>
          <w:szCs w:val="24"/>
          <w:shd w:val="clear" w:fill="FFFFFF"/>
        </w:rPr>
        <w:t>对政府网站的问题及时进行督促整改。</w:t>
      </w:r>
      <w:r>
        <w:rPr>
          <w:rFonts w:hint="eastAsia" w:ascii="微软雅黑" w:hAnsi="微软雅黑" w:eastAsia="微软雅黑" w:cs="微软雅黑"/>
          <w:i w:val="0"/>
          <w:iCs w:val="0"/>
          <w:caps w:val="0"/>
          <w:color w:val="000000"/>
          <w:spacing w:val="0"/>
          <w:sz w:val="24"/>
          <w:szCs w:val="24"/>
          <w:shd w:val="clear" w:fill="FFFFFF"/>
          <w:lang w:val="en-US" w:eastAsia="zh-CN"/>
        </w:rPr>
        <w:t>组织强化领导，及时调整充实了政务公开工作领导小组，并安排专人具体负责。加强日常监督检查，坚决防止错敏信息、信息发布不准确等事件发生。</w:t>
      </w:r>
      <w:r>
        <w:rPr>
          <w:rFonts w:hint="eastAsia" w:ascii="微软雅黑" w:hAnsi="微软雅黑" w:eastAsia="微软雅黑" w:cs="微软雅黑"/>
          <w:i w:val="0"/>
          <w:iCs w:val="0"/>
          <w:caps w:val="0"/>
          <w:color w:val="000000"/>
          <w:spacing w:val="0"/>
          <w:sz w:val="24"/>
          <w:szCs w:val="24"/>
          <w:shd w:val="clear" w:fill="FFFFFF"/>
        </w:rPr>
        <w:t>组织</w:t>
      </w:r>
      <w:r>
        <w:rPr>
          <w:rFonts w:hint="eastAsia" w:ascii="微软雅黑" w:hAnsi="微软雅黑" w:eastAsia="微软雅黑" w:cs="微软雅黑"/>
          <w:i w:val="0"/>
          <w:iCs w:val="0"/>
          <w:caps w:val="0"/>
          <w:color w:val="000000"/>
          <w:spacing w:val="0"/>
          <w:sz w:val="24"/>
          <w:szCs w:val="24"/>
          <w:shd w:val="clear" w:fill="FFFFFF"/>
          <w:lang w:val="en-US" w:eastAsia="zh-CN"/>
        </w:rPr>
        <w:t>政务公开</w:t>
      </w:r>
      <w:r>
        <w:rPr>
          <w:rFonts w:hint="eastAsia" w:ascii="微软雅黑" w:hAnsi="微软雅黑" w:eastAsia="微软雅黑" w:cs="微软雅黑"/>
          <w:i w:val="0"/>
          <w:iCs w:val="0"/>
          <w:caps w:val="0"/>
          <w:color w:val="000000"/>
          <w:spacing w:val="0"/>
          <w:sz w:val="24"/>
          <w:szCs w:val="24"/>
          <w:shd w:val="clear" w:fill="FFFFFF"/>
        </w:rPr>
        <w:t>2次专题培训，</w:t>
      </w:r>
      <w:r>
        <w:rPr>
          <w:rFonts w:hint="eastAsia" w:ascii="微软雅黑" w:hAnsi="微软雅黑" w:eastAsia="微软雅黑" w:cs="微软雅黑"/>
          <w:i w:val="0"/>
          <w:iCs w:val="0"/>
          <w:caps w:val="0"/>
          <w:color w:val="000000"/>
          <w:spacing w:val="0"/>
          <w:sz w:val="24"/>
          <w:szCs w:val="24"/>
          <w:shd w:val="clear" w:fill="FFFFFF"/>
          <w:lang w:val="en-US" w:eastAsia="zh-CN"/>
        </w:rPr>
        <w:t>开展政务公开轮训共6期、例会4期。</w:t>
      </w:r>
      <w:r>
        <w:rPr>
          <w:rFonts w:hint="eastAsia" w:ascii="微软雅黑" w:hAnsi="微软雅黑" w:eastAsia="微软雅黑" w:cs="微软雅黑"/>
          <w:i w:val="0"/>
          <w:iCs w:val="0"/>
          <w:caps w:val="0"/>
          <w:color w:val="000000"/>
          <w:spacing w:val="0"/>
          <w:sz w:val="24"/>
          <w:szCs w:val="24"/>
          <w:shd w:val="clear" w:fill="FFFFFF"/>
        </w:rPr>
        <w:t>优化考核方式，切实提升全县政务公开工作</w:t>
      </w:r>
      <w:r>
        <w:rPr>
          <w:rFonts w:hint="eastAsia" w:ascii="微软雅黑" w:hAnsi="微软雅黑" w:eastAsia="微软雅黑" w:cs="微软雅黑"/>
          <w:i w:val="0"/>
          <w:iCs w:val="0"/>
          <w:caps w:val="0"/>
          <w:color w:val="000000"/>
          <w:spacing w:val="0"/>
          <w:sz w:val="24"/>
          <w:szCs w:val="24"/>
          <w:shd w:val="clear" w:fill="FFFFFF"/>
          <w:lang w:val="en-US" w:eastAsia="zh-CN"/>
        </w:rPr>
        <w:t>专业化、理论化</w:t>
      </w:r>
      <w:r>
        <w:rPr>
          <w:rFonts w:hint="eastAsia" w:ascii="微软雅黑" w:hAnsi="微软雅黑" w:eastAsia="微软雅黑" w:cs="微软雅黑"/>
          <w:i w:val="0"/>
          <w:iCs w:val="0"/>
          <w:caps w:val="0"/>
          <w:color w:val="000000"/>
          <w:spacing w:val="0"/>
          <w:sz w:val="24"/>
          <w:szCs w:val="24"/>
          <w:shd w:val="clear" w:fill="FFFFFF"/>
        </w:rPr>
        <w:t>水平。</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both"/>
        <w:rPr>
          <w:rFonts w:hint="eastAsia" w:ascii="微软雅黑" w:hAnsi="微软雅黑" w:eastAsia="微软雅黑" w:cs="微软雅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黑体" w:hAnsi="黑体" w:eastAsia="黑体" w:cs="黑体"/>
          <w:b/>
          <w:bCs/>
          <w:sz w:val="32"/>
          <w:szCs w:val="32"/>
        </w:rPr>
      </w:pPr>
      <w:r>
        <w:rPr>
          <w:rFonts w:hint="eastAsia" w:ascii="黑体" w:hAnsi="黑体" w:eastAsia="黑体" w:cs="黑体"/>
          <w:b/>
          <w:bCs/>
          <w:i w:val="0"/>
          <w:iCs w:val="0"/>
          <w:caps w:val="0"/>
          <w:color w:val="000000"/>
          <w:spacing w:val="0"/>
          <w:sz w:val="32"/>
          <w:szCs w:val="32"/>
          <w:shd w:val="clear" w:fill="FFFFFF"/>
        </w:rPr>
        <w:t>二、主动公开政府信息情况</w:t>
      </w:r>
    </w:p>
    <w:tbl>
      <w:tblPr>
        <w:tblStyle w:val="5"/>
        <w:tblW w:w="5000" w:type="pct"/>
        <w:tblInd w:w="0" w:type="dxa"/>
        <w:tblLayout w:type="autofit"/>
        <w:tblCellMar>
          <w:top w:w="0" w:type="dxa"/>
          <w:left w:w="108" w:type="dxa"/>
          <w:bottom w:w="0" w:type="dxa"/>
          <w:right w:w="108" w:type="dxa"/>
        </w:tblCellMar>
      </w:tblPr>
      <w:tblGrid>
        <w:gridCol w:w="2406"/>
        <w:gridCol w:w="2407"/>
        <w:gridCol w:w="2407"/>
        <w:gridCol w:w="2407"/>
      </w:tblGrid>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1"/>
                <w:szCs w:val="21"/>
              </w:rPr>
            </w:pPr>
            <w:r>
              <w:rPr>
                <w:rFonts w:hint="eastAsia" w:ascii="黑体" w:hAnsi="黑体" w:eastAsia="黑体" w:cs="宋体"/>
                <w:color w:val="000000"/>
                <w:kern w:val="0"/>
                <w:sz w:val="21"/>
                <w:szCs w:val="21"/>
              </w:rPr>
              <w:t>第二十条第（一）项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信息内容</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本年制发件数</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本年废止件数</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现行有效件数</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规章</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000000"/>
                <w:kern w:val="0"/>
                <w:sz w:val="21"/>
                <w:szCs w:val="21"/>
                <w:lang w:val="en-US" w:eastAsia="zh-CN"/>
              </w:rPr>
            </w:pPr>
            <w:r>
              <w:rPr>
                <w:rFonts w:hint="eastAsia" w:ascii="仿宋_GB2312" w:hAnsi="宋体" w:cs="宋体"/>
                <w:color w:val="000000"/>
                <w:kern w:val="0"/>
                <w:sz w:val="21"/>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cs="宋体"/>
                <w:color w:val="000000"/>
                <w:kern w:val="0"/>
                <w:sz w:val="21"/>
                <w:szCs w:val="21"/>
                <w:lang w:val="en-US" w:eastAsia="zh-CN"/>
              </w:rPr>
            </w:pPr>
            <w:r>
              <w:rPr>
                <w:rFonts w:hint="eastAsia" w:ascii="仿宋_GB2312" w:hAnsi="宋体" w:cs="宋体"/>
                <w:color w:val="000000"/>
                <w:kern w:val="0"/>
                <w:sz w:val="21"/>
                <w:szCs w:val="21"/>
                <w:lang w:val="en-US" w:eastAsia="zh-CN"/>
              </w:rPr>
              <w:t> 　0</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cs="宋体"/>
                <w:color w:val="000000"/>
                <w:kern w:val="0"/>
                <w:sz w:val="21"/>
                <w:szCs w:val="21"/>
                <w:lang w:val="en-US" w:eastAsia="zh-CN"/>
              </w:rPr>
            </w:pPr>
            <w:r>
              <w:rPr>
                <w:rFonts w:hint="eastAsia" w:ascii="仿宋_GB2312" w:hAnsi="宋体" w:cs="宋体"/>
                <w:color w:val="000000"/>
                <w:kern w:val="0"/>
                <w:sz w:val="21"/>
                <w:szCs w:val="21"/>
                <w:lang w:val="en-US" w:eastAsia="zh-CN"/>
              </w:rPr>
              <w:t>　0</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行政规范性文件</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000000"/>
                <w:kern w:val="0"/>
                <w:sz w:val="21"/>
                <w:szCs w:val="21"/>
                <w:lang w:val="en-US" w:eastAsia="zh-CN"/>
              </w:rPr>
            </w:pPr>
            <w:r>
              <w:rPr>
                <w:rFonts w:hint="eastAsia" w:ascii="仿宋_GB2312" w:hAnsi="宋体" w:cs="宋体"/>
                <w:color w:val="000000"/>
                <w:kern w:val="0"/>
                <w:sz w:val="21"/>
                <w:szCs w:val="21"/>
                <w:lang w:val="en-US" w:eastAsia="zh-CN"/>
              </w:rPr>
              <w:t>0</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cs="宋体"/>
                <w:color w:val="000000"/>
                <w:kern w:val="0"/>
                <w:sz w:val="21"/>
                <w:szCs w:val="21"/>
                <w:lang w:val="en-US" w:eastAsia="zh-CN"/>
              </w:rPr>
            </w:pPr>
            <w:r>
              <w:rPr>
                <w:rFonts w:hint="eastAsia" w:ascii="仿宋_GB2312" w:hAnsi="宋体" w:cs="宋体"/>
                <w:color w:val="000000"/>
                <w:kern w:val="0"/>
                <w:sz w:val="21"/>
                <w:szCs w:val="21"/>
                <w:lang w:val="en-US" w:eastAsia="zh-CN"/>
              </w:rPr>
              <w:t> 　0</w:t>
            </w:r>
          </w:p>
        </w:tc>
        <w:tc>
          <w:tcPr>
            <w:tcW w:w="1250" w:type="pct"/>
            <w:tcBorders>
              <w:top w:val="nil"/>
              <w:left w:val="nil"/>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cs="宋体"/>
                <w:color w:val="000000"/>
                <w:kern w:val="0"/>
                <w:sz w:val="21"/>
                <w:szCs w:val="21"/>
                <w:lang w:val="en-US" w:eastAsia="zh-CN"/>
              </w:rPr>
            </w:pPr>
            <w:r>
              <w:rPr>
                <w:rFonts w:hint="eastAsia" w:ascii="仿宋_GB2312" w:hAnsi="宋体" w:cs="宋体"/>
                <w:color w:val="000000"/>
                <w:kern w:val="0"/>
                <w:sz w:val="21"/>
                <w:szCs w:val="21"/>
                <w:lang w:val="en-US" w:eastAsia="zh-CN"/>
              </w:rPr>
              <w:t>　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4" w:space="0"/>
              <w:right w:val="single" w:color="000000" w:sz="8" w:space="0"/>
            </w:tcBorders>
            <w:shd w:val="clear" w:color="000000" w:fill="C6D9F1"/>
            <w:vAlign w:val="center"/>
          </w:tcPr>
          <w:p>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1"/>
                <w:szCs w:val="21"/>
              </w:rPr>
            </w:pPr>
            <w:r>
              <w:rPr>
                <w:rFonts w:hint="eastAsia" w:ascii="黑体" w:hAnsi="黑体" w:eastAsia="黑体" w:cs="宋体"/>
                <w:color w:val="000000"/>
                <w:kern w:val="0"/>
                <w:sz w:val="21"/>
                <w:szCs w:val="21"/>
              </w:rPr>
              <w:t>第二十条第（五）项</w:t>
            </w:r>
          </w:p>
        </w:tc>
      </w:tr>
      <w:tr>
        <w:tblPrEx>
          <w:tblCellMar>
            <w:top w:w="0" w:type="dxa"/>
            <w:left w:w="108" w:type="dxa"/>
            <w:bottom w:w="0" w:type="dxa"/>
            <w:right w:w="108" w:type="dxa"/>
          </w:tblCellMar>
        </w:tblPrEx>
        <w:trPr>
          <w:trHeight w:val="567" w:hRule="atLeast"/>
        </w:trPr>
        <w:tc>
          <w:tcPr>
            <w:tcW w:w="1250" w:type="pc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both"/>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信息内容</w:t>
            </w:r>
          </w:p>
        </w:tc>
        <w:tc>
          <w:tcPr>
            <w:tcW w:w="375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single" w:color="auto" w:sz="4" w:space="0"/>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行政许可</w:t>
            </w:r>
          </w:p>
        </w:tc>
        <w:tc>
          <w:tcPr>
            <w:tcW w:w="3750" w:type="pct"/>
            <w:gridSpan w:val="3"/>
            <w:tcBorders>
              <w:top w:val="single" w:color="auto" w:sz="4" w:space="0"/>
              <w:left w:val="nil"/>
              <w:bottom w:val="single" w:color="auto"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Calibri" w:eastAsia="仿宋_GB2312" w:cs="Calibri"/>
                <w:color w:val="000000"/>
                <w:kern w:val="0"/>
                <w:sz w:val="21"/>
                <w:szCs w:val="21"/>
                <w:lang w:val="en-US" w:eastAsia="zh-CN"/>
              </w:rPr>
            </w:pPr>
            <w:r>
              <w:rPr>
                <w:rFonts w:hint="eastAsia" w:ascii="仿宋_GB2312" w:hAnsi="宋体" w:cs="宋体"/>
                <w:color w:val="000000"/>
                <w:kern w:val="0"/>
                <w:sz w:val="21"/>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1"/>
                <w:szCs w:val="21"/>
              </w:rPr>
            </w:pPr>
            <w:r>
              <w:rPr>
                <w:rFonts w:hint="eastAsia" w:ascii="黑体" w:hAnsi="黑体" w:eastAsia="黑体" w:cs="宋体"/>
                <w:color w:val="000000"/>
                <w:kern w:val="0"/>
                <w:sz w:val="21"/>
                <w:szCs w:val="21"/>
              </w:rPr>
              <w:t>第二十条第（六）项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本年处理决定数量</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行政处罚</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000000"/>
                <w:kern w:val="0"/>
                <w:sz w:val="21"/>
                <w:szCs w:val="21"/>
                <w:lang w:val="en-US" w:eastAsia="zh-CN"/>
              </w:rPr>
            </w:pPr>
            <w:r>
              <w:rPr>
                <w:rFonts w:hint="eastAsia" w:ascii="仿宋_GB2312" w:hAnsi="宋体" w:cs="宋体"/>
                <w:color w:val="000000"/>
                <w:kern w:val="0"/>
                <w:sz w:val="21"/>
                <w:szCs w:val="21"/>
                <w:lang w:val="en-US" w:eastAsia="zh-CN"/>
              </w:rPr>
              <w:t>0</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行政强制</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宋体" w:eastAsia="仿宋_GB2312" w:cs="宋体"/>
                <w:color w:val="000000"/>
                <w:kern w:val="0"/>
                <w:sz w:val="21"/>
                <w:szCs w:val="21"/>
                <w:lang w:val="en-US" w:eastAsia="zh-CN"/>
              </w:rPr>
            </w:pPr>
            <w:r>
              <w:rPr>
                <w:rFonts w:hint="eastAsia" w:ascii="仿宋_GB2312" w:hAnsi="宋体" w:cs="宋体"/>
                <w:color w:val="000000"/>
                <w:kern w:val="0"/>
                <w:sz w:val="21"/>
                <w:szCs w:val="21"/>
                <w:lang w:val="en-US" w:eastAsia="zh-CN"/>
              </w:rPr>
              <w:t>0</w:t>
            </w:r>
          </w:p>
        </w:tc>
      </w:tr>
      <w:tr>
        <w:tblPrEx>
          <w:tblCellMar>
            <w:top w:w="0" w:type="dxa"/>
            <w:left w:w="108" w:type="dxa"/>
            <w:bottom w:w="0" w:type="dxa"/>
            <w:right w:w="108" w:type="dxa"/>
          </w:tblCellMar>
        </w:tblPrEx>
        <w:trPr>
          <w:trHeight w:val="567" w:hRule="atLeast"/>
        </w:trPr>
        <w:tc>
          <w:tcPr>
            <w:tcW w:w="5000" w:type="pct"/>
            <w:gridSpan w:val="4"/>
            <w:tcBorders>
              <w:top w:val="single" w:color="auto" w:sz="8" w:space="0"/>
              <w:left w:val="single" w:color="auto" w:sz="8" w:space="0"/>
              <w:bottom w:val="single" w:color="auto" w:sz="8" w:space="0"/>
              <w:right w:val="single" w:color="000000" w:sz="8" w:space="0"/>
            </w:tcBorders>
            <w:shd w:val="clear" w:color="000000" w:fill="C6D9F1"/>
            <w:vAlign w:val="center"/>
          </w:tcPr>
          <w:p>
            <w:pPr>
              <w:keepNext w:val="0"/>
              <w:keepLines w:val="0"/>
              <w:widowControl/>
              <w:suppressLineNumbers w:val="0"/>
              <w:spacing w:before="0" w:beforeAutospacing="0" w:after="0" w:afterAutospacing="0"/>
              <w:ind w:left="0" w:right="0"/>
              <w:jc w:val="center"/>
              <w:rPr>
                <w:rFonts w:hint="default" w:ascii="黑体" w:hAnsi="黑体" w:eastAsia="黑体" w:cs="宋体"/>
                <w:color w:val="000000"/>
                <w:kern w:val="0"/>
                <w:sz w:val="21"/>
                <w:szCs w:val="21"/>
              </w:rPr>
            </w:pPr>
            <w:r>
              <w:rPr>
                <w:rFonts w:hint="eastAsia" w:ascii="黑体" w:hAnsi="黑体" w:eastAsia="黑体" w:cs="宋体"/>
                <w:color w:val="000000"/>
                <w:kern w:val="0"/>
                <w:sz w:val="21"/>
                <w:szCs w:val="21"/>
              </w:rPr>
              <w:t>第二十条第（八）项</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信息内容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本年收费金额（单位：万元）</w:t>
            </w:r>
          </w:p>
        </w:tc>
      </w:tr>
      <w:tr>
        <w:tblPrEx>
          <w:tblCellMar>
            <w:top w:w="0" w:type="dxa"/>
            <w:left w:w="108" w:type="dxa"/>
            <w:bottom w:w="0" w:type="dxa"/>
            <w:right w:w="108" w:type="dxa"/>
          </w:tblCellMar>
        </w:tblPrEx>
        <w:trPr>
          <w:trHeight w:val="567" w:hRule="atLeast"/>
        </w:trPr>
        <w:tc>
          <w:tcPr>
            <w:tcW w:w="1250" w:type="pct"/>
            <w:tcBorders>
              <w:top w:val="nil"/>
              <w:left w:val="single" w:color="auto" w:sz="8" w:space="0"/>
              <w:bottom w:val="single" w:color="auto" w:sz="8" w:space="0"/>
              <w:right w:val="single" w:color="auto" w:sz="8" w:space="0"/>
            </w:tcBorders>
            <w:shd w:val="clear" w:color="auto" w:fill="auto"/>
            <w:vAlign w:val="center"/>
          </w:tcPr>
          <w:p>
            <w:pPr>
              <w:keepNext w:val="0"/>
              <w:keepLines w:val="0"/>
              <w:widowControl/>
              <w:suppressLineNumbers w:val="0"/>
              <w:spacing w:before="0" w:beforeAutospacing="0" w:after="0" w:afterAutospacing="0"/>
              <w:ind w:left="0" w:right="0"/>
              <w:jc w:val="left"/>
              <w:rPr>
                <w:rFonts w:hint="default" w:ascii="仿宋_GB2312" w:hAnsi="宋体" w:eastAsia="仿宋_GB2312" w:cs="宋体"/>
                <w:color w:val="000000"/>
                <w:kern w:val="0"/>
                <w:sz w:val="21"/>
                <w:szCs w:val="21"/>
              </w:rPr>
            </w:pPr>
            <w:r>
              <w:rPr>
                <w:rFonts w:hint="eastAsia" w:ascii="仿宋_GB2312" w:hAnsi="宋体" w:eastAsia="仿宋_GB2312" w:cs="宋体"/>
                <w:color w:val="000000"/>
                <w:kern w:val="0"/>
                <w:sz w:val="21"/>
                <w:szCs w:val="21"/>
              </w:rPr>
              <w:t>行政事业性收费</w:t>
            </w:r>
          </w:p>
        </w:tc>
        <w:tc>
          <w:tcPr>
            <w:tcW w:w="3750" w:type="pct"/>
            <w:gridSpan w:val="3"/>
            <w:tcBorders>
              <w:top w:val="single" w:color="auto" w:sz="8" w:space="0"/>
              <w:left w:val="nil"/>
              <w:bottom w:val="single" w:color="auto"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center"/>
              <w:rPr>
                <w:rFonts w:hint="eastAsia" w:ascii="仿宋_GB2312" w:hAnsi="Calibri" w:eastAsia="仿宋_GB2312" w:cs="Calibri"/>
                <w:color w:val="000000"/>
                <w:kern w:val="0"/>
                <w:sz w:val="21"/>
                <w:szCs w:val="21"/>
                <w:lang w:val="en-US" w:eastAsia="zh-CN"/>
              </w:rPr>
            </w:pPr>
            <w:r>
              <w:rPr>
                <w:rFonts w:hint="eastAsia" w:ascii="仿宋_GB2312" w:hAnsi="Calibri" w:cs="Calibri"/>
                <w:color w:val="000000"/>
                <w:kern w:val="0"/>
                <w:sz w:val="21"/>
                <w:szCs w:val="21"/>
                <w:lang w:val="en-US" w:eastAsia="zh-CN"/>
              </w:rPr>
              <w:t>0</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黑体" w:hAnsi="黑体" w:eastAsia="黑体" w:cs="黑体"/>
          <w:b/>
          <w:bCs/>
          <w:i w:val="0"/>
          <w:iCs w:val="0"/>
          <w:caps w:val="0"/>
          <w:color w:val="000000"/>
          <w:spacing w:val="0"/>
          <w:sz w:val="32"/>
          <w:szCs w:val="32"/>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黑体" w:hAnsi="黑体" w:eastAsia="黑体" w:cs="黑体"/>
          <w:b/>
          <w:bCs/>
          <w:sz w:val="32"/>
          <w:szCs w:val="32"/>
        </w:rPr>
      </w:pPr>
      <w:r>
        <w:rPr>
          <w:rFonts w:hint="eastAsia" w:ascii="黑体" w:hAnsi="黑体" w:eastAsia="黑体" w:cs="黑体"/>
          <w:b/>
          <w:bCs/>
          <w:i w:val="0"/>
          <w:iCs w:val="0"/>
          <w:caps w:val="0"/>
          <w:color w:val="000000"/>
          <w:spacing w:val="0"/>
          <w:sz w:val="32"/>
          <w:szCs w:val="32"/>
          <w:shd w:val="clear" w:fill="FFFFFF"/>
        </w:rPr>
        <w:t>三、收到和处理政府信息公开申请情况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微软雅黑" w:hAnsi="微软雅黑" w:eastAsia="微软雅黑" w:cs="微软雅黑"/>
          <w:sz w:val="24"/>
          <w:szCs w:val="24"/>
        </w:rPr>
      </w:pPr>
    </w:p>
    <w:tbl>
      <w:tblPr>
        <w:tblStyle w:val="5"/>
        <w:tblW w:w="99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16"/>
        <w:gridCol w:w="1701"/>
        <w:gridCol w:w="2976"/>
        <w:gridCol w:w="829"/>
        <w:gridCol w:w="567"/>
        <w:gridCol w:w="567"/>
        <w:gridCol w:w="731"/>
        <w:gridCol w:w="708"/>
        <w:gridCol w:w="567"/>
        <w:gridCol w:w="8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13" w:hRule="atLeast"/>
          <w:jc w:val="center"/>
        </w:trPr>
        <w:tc>
          <w:tcPr>
            <w:tcW w:w="5093" w:type="dxa"/>
            <w:gridSpan w:val="3"/>
            <w:vMerge w:val="restart"/>
            <w:tcBorders>
              <w:top w:val="single" w:color="auto" w:sz="8"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jc w:val="center"/>
              <w:rPr>
                <w:rFonts w:hint="eastAsia" w:ascii="楷体_GB2312" w:hAnsi="黑体" w:eastAsia="楷体_GB2312" w:cs="Times New Roman"/>
                <w:kern w:val="0"/>
                <w:sz w:val="21"/>
                <w:szCs w:val="21"/>
              </w:rPr>
            </w:pPr>
            <w:r>
              <w:rPr>
                <w:rFonts w:hint="eastAsia" w:ascii="楷体_GB2312" w:hAnsi="黑体" w:eastAsia="楷体_GB2312" w:cs="Times New Roman"/>
                <w:kern w:val="0"/>
                <w:sz w:val="21"/>
                <w:szCs w:val="21"/>
              </w:rPr>
              <w:t>（本列数据的勾稽关系为：第一项加第二项之和，</w:t>
            </w:r>
          </w:p>
          <w:p>
            <w:pPr>
              <w:keepNext w:val="0"/>
              <w:keepLines w:val="0"/>
              <w:widowControl/>
              <w:suppressLineNumbers w:val="0"/>
              <w:spacing w:before="0" w:beforeLines="0" w:beforeAutospacing="0" w:after="0" w:afterLines="0" w:afterAutospacing="0"/>
              <w:ind w:left="0" w:right="0"/>
              <w:jc w:val="center"/>
              <w:rPr>
                <w:rFonts w:hint="eastAsia" w:ascii="仿宋_GB2312" w:hAnsi="Times New Roman" w:eastAsia="仿宋_GB2312" w:cs="Times New Roman"/>
                <w:sz w:val="21"/>
                <w:szCs w:val="21"/>
              </w:rPr>
            </w:pPr>
            <w:r>
              <w:rPr>
                <w:rFonts w:hint="eastAsia" w:ascii="楷体_GB2312" w:hAnsi="黑体" w:eastAsia="楷体_GB2312" w:cs="Times New Roman"/>
                <w:kern w:val="0"/>
                <w:sz w:val="21"/>
                <w:szCs w:val="21"/>
              </w:rPr>
              <w:t>等于第三项加第四项之和）</w:t>
            </w:r>
          </w:p>
        </w:tc>
        <w:tc>
          <w:tcPr>
            <w:tcW w:w="4820" w:type="dxa"/>
            <w:gridSpan w:val="7"/>
            <w:tcBorders>
              <w:top w:val="single" w:color="auto" w:sz="8"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20" w:lineRule="exact"/>
              <w:ind w:left="0" w:right="0"/>
              <w:jc w:val="center"/>
              <w:rPr>
                <w:rFonts w:hint="eastAsia" w:ascii="黑体" w:hAnsi="黑体" w:eastAsia="黑体" w:cs="Times New Roman"/>
                <w:sz w:val="21"/>
                <w:szCs w:val="21"/>
              </w:rPr>
            </w:pPr>
            <w:r>
              <w:rPr>
                <w:rFonts w:hint="eastAsia" w:ascii="黑体" w:hAnsi="黑体" w:eastAsia="黑体" w:cs="Times New Roman"/>
                <w:kern w:val="0"/>
                <w:sz w:val="21"/>
                <w:szCs w:val="21"/>
              </w:rPr>
              <w:t>申请人情况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5093" w:type="dxa"/>
            <w:gridSpan w:val="3"/>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jc w:val="center"/>
              <w:rPr>
                <w:rFonts w:hint="eastAsia" w:ascii="仿宋_GB2312" w:hAnsi="Times New Roman" w:eastAsia="仿宋_GB2312" w:cs="Times New Roman"/>
                <w:sz w:val="21"/>
                <w:szCs w:val="21"/>
              </w:rPr>
            </w:pPr>
          </w:p>
        </w:tc>
        <w:tc>
          <w:tcPr>
            <w:tcW w:w="829" w:type="dxa"/>
            <w:vMerge w:val="restart"/>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jc w:val="center"/>
              <w:rPr>
                <w:rFonts w:hint="eastAsia" w:ascii="黑体" w:hAnsi="黑体" w:eastAsia="黑体" w:cs="Times New Roman"/>
                <w:sz w:val="21"/>
                <w:szCs w:val="21"/>
              </w:rPr>
            </w:pPr>
            <w:r>
              <w:rPr>
                <w:rFonts w:hint="eastAsia" w:ascii="黑体" w:hAnsi="黑体" w:eastAsia="黑体" w:cs="Times New Roman"/>
                <w:kern w:val="0"/>
                <w:sz w:val="21"/>
                <w:szCs w:val="21"/>
              </w:rPr>
              <w:t>自然人</w:t>
            </w:r>
          </w:p>
        </w:tc>
        <w:tc>
          <w:tcPr>
            <w:tcW w:w="3140" w:type="dxa"/>
            <w:gridSpan w:val="5"/>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20" w:lineRule="exact"/>
              <w:ind w:left="0" w:right="0"/>
              <w:jc w:val="center"/>
              <w:rPr>
                <w:rFonts w:hint="eastAsia" w:ascii="黑体" w:hAnsi="黑体" w:eastAsia="黑体" w:cs="Times New Roman"/>
                <w:sz w:val="21"/>
                <w:szCs w:val="21"/>
              </w:rPr>
            </w:pPr>
            <w:r>
              <w:rPr>
                <w:rFonts w:hint="eastAsia" w:ascii="黑体" w:hAnsi="黑体" w:eastAsia="黑体" w:cs="Times New Roman"/>
                <w:kern w:val="0"/>
                <w:sz w:val="21"/>
                <w:szCs w:val="21"/>
              </w:rPr>
              <w:t>法人或其他组织</w:t>
            </w:r>
          </w:p>
        </w:tc>
        <w:tc>
          <w:tcPr>
            <w:tcW w:w="851" w:type="dxa"/>
            <w:vMerge w:val="restart"/>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jc w:val="center"/>
              <w:rPr>
                <w:rFonts w:hint="eastAsia" w:ascii="黑体" w:hAnsi="黑体" w:eastAsia="黑体" w:cs="Times New Roman"/>
                <w:sz w:val="21"/>
                <w:szCs w:val="21"/>
              </w:rPr>
            </w:pPr>
            <w:r>
              <w:rPr>
                <w:rFonts w:hint="eastAsia" w:ascii="黑体" w:hAnsi="黑体" w:eastAsia="黑体" w:cs="Times New Roman"/>
                <w:kern w:val="0"/>
                <w:sz w:val="21"/>
                <w:szCs w:val="21"/>
              </w:rPr>
              <w:t>总计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2" w:hRule="atLeast"/>
          <w:jc w:val="center"/>
        </w:trPr>
        <w:tc>
          <w:tcPr>
            <w:tcW w:w="5093" w:type="dxa"/>
            <w:gridSpan w:val="3"/>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jc w:val="center"/>
              <w:rPr>
                <w:rFonts w:hint="eastAsia" w:ascii="仿宋_GB2312" w:hAnsi="Times New Roman" w:eastAsia="仿宋_GB2312" w:cs="Times New Roman"/>
                <w:sz w:val="21"/>
                <w:szCs w:val="21"/>
              </w:rPr>
            </w:pPr>
          </w:p>
        </w:tc>
        <w:tc>
          <w:tcPr>
            <w:tcW w:w="829"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jc w:val="center"/>
              <w:rPr>
                <w:rFonts w:hint="eastAsia" w:ascii="黑体" w:hAnsi="黑体" w:eastAsia="黑体" w:cs="Times New Roman"/>
                <w:sz w:val="21"/>
                <w:szCs w:val="21"/>
              </w:rPr>
            </w:pP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20" w:lineRule="exact"/>
              <w:ind w:left="-170" w:leftChars="-51" w:right="-171" w:rightChars="-51" w:hanging="1"/>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商业</w:t>
            </w:r>
          </w:p>
          <w:p>
            <w:pPr>
              <w:keepNext w:val="0"/>
              <w:keepLines w:val="0"/>
              <w:widowControl/>
              <w:suppressLineNumbers w:val="0"/>
              <w:spacing w:before="0" w:beforeLines="0" w:beforeAutospacing="0" w:after="0" w:afterLines="0" w:afterAutospacing="0" w:line="320" w:lineRule="exact"/>
              <w:ind w:left="-170" w:leftChars="-51" w:right="-171" w:rightChars="-51" w:hanging="1"/>
              <w:jc w:val="center"/>
              <w:rPr>
                <w:rFonts w:hint="eastAsia" w:ascii="黑体" w:hAnsi="黑体" w:eastAsia="黑体" w:cs="Times New Roman"/>
                <w:sz w:val="21"/>
                <w:szCs w:val="21"/>
              </w:rPr>
            </w:pPr>
            <w:r>
              <w:rPr>
                <w:rFonts w:hint="eastAsia" w:ascii="黑体" w:hAnsi="黑体" w:eastAsia="黑体" w:cs="Times New Roman"/>
                <w:kern w:val="0"/>
                <w:sz w:val="21"/>
                <w:szCs w:val="21"/>
              </w:rPr>
              <w:t>企业</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20" w:lineRule="exact"/>
              <w:ind w:left="-171" w:leftChars="-51" w:right="-171" w:rightChars="-51"/>
              <w:jc w:val="center"/>
              <w:rPr>
                <w:rFonts w:hint="eastAsia" w:ascii="黑体" w:hAnsi="黑体" w:eastAsia="黑体" w:cs="Times New Roman"/>
                <w:kern w:val="0"/>
                <w:sz w:val="21"/>
                <w:szCs w:val="21"/>
              </w:rPr>
            </w:pPr>
            <w:r>
              <w:rPr>
                <w:rFonts w:hint="eastAsia" w:ascii="黑体" w:hAnsi="黑体" w:eastAsia="黑体" w:cs="Times New Roman"/>
                <w:kern w:val="0"/>
                <w:sz w:val="21"/>
                <w:szCs w:val="21"/>
              </w:rPr>
              <w:t>科研</w:t>
            </w:r>
          </w:p>
          <w:p>
            <w:pPr>
              <w:keepNext w:val="0"/>
              <w:keepLines w:val="0"/>
              <w:widowControl/>
              <w:suppressLineNumbers w:val="0"/>
              <w:spacing w:before="0" w:beforeLines="0" w:beforeAutospacing="0" w:after="0" w:afterLines="0" w:afterAutospacing="0" w:line="320" w:lineRule="exact"/>
              <w:ind w:left="-171" w:leftChars="-51" w:right="-171" w:rightChars="-51"/>
              <w:jc w:val="center"/>
              <w:rPr>
                <w:rFonts w:hint="eastAsia" w:ascii="黑体" w:hAnsi="黑体" w:eastAsia="黑体" w:cs="Times New Roman"/>
                <w:sz w:val="21"/>
                <w:szCs w:val="21"/>
              </w:rPr>
            </w:pPr>
            <w:r>
              <w:rPr>
                <w:rFonts w:hint="eastAsia" w:ascii="黑体" w:hAnsi="黑体" w:eastAsia="黑体" w:cs="Times New Roman"/>
                <w:kern w:val="0"/>
                <w:sz w:val="21"/>
                <w:szCs w:val="21"/>
              </w:rPr>
              <w:t>机构</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20" w:lineRule="exact"/>
              <w:ind w:left="-171" w:leftChars="-51" w:right="-171" w:rightChars="-51"/>
              <w:jc w:val="center"/>
              <w:rPr>
                <w:rFonts w:hint="eastAsia" w:ascii="黑体" w:hAnsi="黑体" w:eastAsia="黑体" w:cs="Times New Roman"/>
                <w:sz w:val="21"/>
                <w:szCs w:val="21"/>
              </w:rPr>
            </w:pPr>
            <w:r>
              <w:rPr>
                <w:rFonts w:hint="eastAsia" w:ascii="黑体" w:hAnsi="黑体" w:eastAsia="黑体" w:cs="Times New Roman"/>
                <w:kern w:val="0"/>
                <w:sz w:val="21"/>
                <w:szCs w:val="21"/>
              </w:rPr>
              <w:t>社会公益组织</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20" w:lineRule="exact"/>
              <w:ind w:left="-170" w:leftChars="-51" w:right="-171" w:rightChars="-51" w:hanging="1"/>
              <w:jc w:val="center"/>
              <w:rPr>
                <w:rFonts w:hint="eastAsia" w:ascii="黑体" w:hAnsi="黑体" w:eastAsia="黑体" w:cs="Times New Roman"/>
                <w:sz w:val="21"/>
                <w:szCs w:val="21"/>
              </w:rPr>
            </w:pPr>
            <w:r>
              <w:rPr>
                <w:rFonts w:hint="eastAsia" w:ascii="黑体" w:hAnsi="黑体" w:eastAsia="黑体" w:cs="Times New Roman"/>
                <w:kern w:val="0"/>
                <w:sz w:val="21"/>
                <w:szCs w:val="21"/>
              </w:rPr>
              <w:t>法律服务机构</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60" w:lineRule="exact"/>
              <w:ind w:left="-100" w:leftChars="-30" w:right="-215" w:rightChars="-64"/>
              <w:jc w:val="center"/>
              <w:rPr>
                <w:rFonts w:hint="eastAsia" w:ascii="黑体" w:hAnsi="黑体" w:eastAsia="黑体" w:cs="Times New Roman"/>
                <w:sz w:val="21"/>
                <w:szCs w:val="21"/>
              </w:rPr>
            </w:pPr>
            <w:r>
              <w:rPr>
                <w:rFonts w:hint="eastAsia" w:ascii="黑体" w:hAnsi="黑体" w:eastAsia="黑体" w:cs="Times New Roman"/>
                <w:kern w:val="0"/>
                <w:sz w:val="21"/>
                <w:szCs w:val="21"/>
              </w:rPr>
              <w:t>其他</w:t>
            </w:r>
          </w:p>
        </w:tc>
        <w:tc>
          <w:tcPr>
            <w:tcW w:w="851" w:type="dxa"/>
            <w:vMerge w:val="continue"/>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jc w:val="center"/>
              <w:rPr>
                <w:rFonts w:hint="eastAsia" w:ascii="仿宋_GB2312" w:hAnsi="Times New Roman" w:eastAsia="仿宋_GB2312" w:cs="Times New Roman"/>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rPr>
                <w:rFonts w:hint="eastAsia" w:ascii="黑体" w:hAnsi="黑体" w:eastAsia="黑体" w:cs="Times New Roman"/>
                <w:sz w:val="21"/>
                <w:szCs w:val="21"/>
              </w:rPr>
            </w:pPr>
            <w:r>
              <w:rPr>
                <w:rFonts w:hint="eastAsia" w:ascii="黑体" w:hAnsi="黑体" w:eastAsia="黑体" w:cs="Times New Roman"/>
                <w:kern w:val="0"/>
                <w:sz w:val="21"/>
                <w:szCs w:val="21"/>
              </w:rPr>
              <w:t>一、</w:t>
            </w:r>
            <w:bookmarkStart w:id="0" w:name="_Hlk66973412"/>
            <w:r>
              <w:rPr>
                <w:rFonts w:hint="eastAsia" w:ascii="黑体" w:hAnsi="黑体" w:eastAsia="黑体" w:cs="Times New Roman"/>
                <w:kern w:val="0"/>
                <w:sz w:val="21"/>
                <w:szCs w:val="21"/>
              </w:rPr>
              <w:t>本年新收政府信息公开申请数量</w:t>
            </w:r>
            <w:bookmarkEnd w:id="0"/>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hAnsi="Times New Roman" w:cs="Times New Roman"/>
                <w:sz w:val="21"/>
                <w:szCs w:val="21"/>
                <w:lang w:val="en-US" w:eastAsia="zh-CN"/>
              </w:rPr>
              <w:t>21</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5093" w:type="dxa"/>
            <w:gridSpan w:val="3"/>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rPr>
                <w:rFonts w:hint="eastAsia" w:ascii="黑体" w:hAnsi="黑体" w:eastAsia="黑体" w:cs="Times New Roman"/>
                <w:sz w:val="21"/>
                <w:szCs w:val="21"/>
              </w:rPr>
            </w:pPr>
            <w:r>
              <w:rPr>
                <w:rFonts w:hint="eastAsia" w:ascii="黑体" w:hAnsi="黑体" w:eastAsia="黑体" w:cs="Times New Roman"/>
                <w:kern w:val="0"/>
                <w:sz w:val="21"/>
                <w:szCs w:val="21"/>
              </w:rPr>
              <w:t>二、上年结转政府信息公开申请数量</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restart"/>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rPr>
                <w:rFonts w:hint="eastAsia" w:ascii="黑体" w:hAnsi="黑体" w:eastAsia="黑体" w:cs="Times New Roman"/>
                <w:sz w:val="21"/>
                <w:szCs w:val="21"/>
              </w:rPr>
            </w:pPr>
            <w:r>
              <w:rPr>
                <w:rFonts w:hint="eastAsia" w:ascii="黑体" w:hAnsi="黑体" w:eastAsia="黑体" w:cs="Times New Roman"/>
                <w:kern w:val="0"/>
                <w:sz w:val="21"/>
                <w:szCs w:val="21"/>
              </w:rPr>
              <w:t>三、本年度办理结果</w:t>
            </w:r>
          </w:p>
        </w:tc>
        <w:tc>
          <w:tcPr>
            <w:tcW w:w="4677" w:type="dxa"/>
            <w:gridSpan w:val="2"/>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rPr>
                <w:rFonts w:hint="eastAsia" w:ascii="黑体" w:hAnsi="黑体" w:eastAsia="黑体" w:cs="Times New Roman"/>
                <w:sz w:val="21"/>
                <w:szCs w:val="21"/>
              </w:rPr>
            </w:pPr>
            <w:r>
              <w:rPr>
                <w:rFonts w:hint="eastAsia" w:ascii="黑体" w:hAnsi="黑体" w:eastAsia="黑体" w:cs="Times New Roman"/>
                <w:kern w:val="0"/>
                <w:sz w:val="21"/>
                <w:szCs w:val="21"/>
              </w:rPr>
              <w:t>（一）予以公开</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7</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4677" w:type="dxa"/>
            <w:gridSpan w:val="2"/>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ind w:left="0" w:right="0"/>
              <w:rPr>
                <w:rFonts w:hint="eastAsia" w:ascii="黑体" w:hAnsi="黑体" w:eastAsia="黑体" w:cs="Times New Roman"/>
                <w:sz w:val="21"/>
                <w:szCs w:val="21"/>
              </w:rPr>
            </w:pPr>
            <w:r>
              <w:rPr>
                <w:rFonts w:hint="eastAsia" w:ascii="黑体" w:hAnsi="黑体" w:eastAsia="黑体" w:cs="Times New Roman"/>
                <w:kern w:val="0"/>
                <w:sz w:val="21"/>
                <w:szCs w:val="21"/>
              </w:rPr>
              <w:t>（二）部分公开（</w:t>
            </w:r>
            <w:bookmarkStart w:id="1" w:name="_Hlk66973981"/>
            <w:r>
              <w:rPr>
                <w:rFonts w:hint="eastAsia" w:ascii="黑体" w:hAnsi="黑体" w:eastAsia="黑体" w:cs="Times New Roman"/>
                <w:kern w:val="0"/>
                <w:sz w:val="21"/>
                <w:szCs w:val="21"/>
              </w:rPr>
              <w:t>区分处理的，只计这一情形，不计其他情形</w:t>
            </w:r>
            <w:bookmarkEnd w:id="1"/>
            <w:r>
              <w:rPr>
                <w:rFonts w:hint="eastAsia" w:ascii="黑体" w:hAnsi="黑体" w:eastAsia="黑体" w:cs="Times New Roman"/>
                <w:kern w:val="0"/>
                <w:sz w:val="21"/>
                <w:szCs w:val="21"/>
              </w:rPr>
              <w:t>）</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11</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restart"/>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171" w:leftChars="-51" w:right="0"/>
              <w:rPr>
                <w:rFonts w:hint="eastAsia" w:ascii="黑体" w:hAnsi="黑体" w:eastAsia="黑体" w:cs="Times New Roman"/>
                <w:sz w:val="21"/>
                <w:szCs w:val="21"/>
              </w:rPr>
            </w:pPr>
            <w:r>
              <w:rPr>
                <w:rFonts w:hint="eastAsia" w:ascii="黑体" w:hAnsi="黑体" w:eastAsia="黑体" w:cs="Times New Roman"/>
                <w:kern w:val="0"/>
                <w:sz w:val="21"/>
                <w:szCs w:val="21"/>
              </w:rPr>
              <w:t>（三）不予公开</w:t>
            </w: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1.属于国家秘密</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2.</w:t>
            </w:r>
            <w:bookmarkStart w:id="2" w:name="_Hlk66974104"/>
            <w:r>
              <w:rPr>
                <w:rFonts w:hint="eastAsia" w:ascii="仿宋_GB2312" w:hAnsi="黑体" w:eastAsia="仿宋_GB2312" w:cs="Times New Roman"/>
                <w:kern w:val="0"/>
                <w:sz w:val="21"/>
                <w:szCs w:val="21"/>
              </w:rPr>
              <w:t>其他法律行政法规禁止公开</w:t>
            </w:r>
            <w:bookmarkEnd w:id="2"/>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3.危及“三安全一稳定”</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4.</w:t>
            </w:r>
            <w:bookmarkStart w:id="3" w:name="_Hlk66974290"/>
            <w:r>
              <w:rPr>
                <w:rFonts w:hint="eastAsia" w:ascii="仿宋_GB2312" w:hAnsi="黑体" w:eastAsia="仿宋_GB2312" w:cs="Times New Roman"/>
                <w:kern w:val="0"/>
                <w:sz w:val="21"/>
                <w:szCs w:val="21"/>
              </w:rPr>
              <w:t>保护第三方合法权益</w:t>
            </w:r>
            <w:bookmarkEnd w:id="3"/>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5.属于三类内部事务信息</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6.</w:t>
            </w:r>
            <w:bookmarkStart w:id="4" w:name="_Hlk66974555"/>
            <w:r>
              <w:rPr>
                <w:rFonts w:hint="eastAsia" w:ascii="仿宋_GB2312" w:hAnsi="黑体" w:eastAsia="仿宋_GB2312" w:cs="Times New Roman"/>
                <w:kern w:val="0"/>
                <w:sz w:val="21"/>
                <w:szCs w:val="21"/>
              </w:rPr>
              <w:t>属于四类过程性信息</w:t>
            </w:r>
            <w:bookmarkEnd w:id="4"/>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7.属于行政执法案卷</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8.</w:t>
            </w:r>
            <w:bookmarkStart w:id="5" w:name="_Hlk66975211"/>
            <w:r>
              <w:rPr>
                <w:rFonts w:hint="eastAsia" w:ascii="仿宋_GB2312" w:hAnsi="黑体" w:eastAsia="仿宋_GB2312" w:cs="Times New Roman"/>
                <w:kern w:val="0"/>
                <w:sz w:val="21"/>
                <w:szCs w:val="21"/>
              </w:rPr>
              <w:t>属于行政查询事项</w:t>
            </w:r>
            <w:bookmarkEnd w:id="5"/>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restart"/>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171" w:leftChars="-51" w:right="0"/>
              <w:rPr>
                <w:rFonts w:hint="eastAsia" w:ascii="黑体" w:hAnsi="黑体" w:eastAsia="黑体" w:cs="Times New Roman"/>
                <w:sz w:val="21"/>
                <w:szCs w:val="21"/>
              </w:rPr>
            </w:pPr>
            <w:r>
              <w:rPr>
                <w:rFonts w:hint="eastAsia" w:ascii="黑体" w:hAnsi="黑体" w:eastAsia="黑体" w:cs="Times New Roman"/>
                <w:kern w:val="0"/>
                <w:sz w:val="21"/>
                <w:szCs w:val="21"/>
              </w:rPr>
              <w:t>（四）无法提供</w:t>
            </w: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1.本机关不掌握相关政府信息</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3</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171" w:leftChars="-51"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2.</w:t>
            </w:r>
            <w:bookmarkStart w:id="6" w:name="_Hlk66975392"/>
            <w:r>
              <w:rPr>
                <w:rFonts w:hint="eastAsia" w:ascii="仿宋_GB2312" w:hAnsi="黑体" w:eastAsia="仿宋_GB2312" w:cs="Times New Roman"/>
                <w:kern w:val="0"/>
                <w:sz w:val="21"/>
                <w:szCs w:val="21"/>
              </w:rPr>
              <w:t>没有现成信息需要另行制作</w:t>
            </w:r>
            <w:bookmarkEnd w:id="6"/>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171" w:leftChars="-51"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3.</w:t>
            </w:r>
            <w:bookmarkStart w:id="7" w:name="_Hlk66975466"/>
            <w:r>
              <w:rPr>
                <w:rFonts w:hint="eastAsia" w:ascii="仿宋_GB2312" w:hAnsi="黑体" w:eastAsia="仿宋_GB2312" w:cs="Times New Roman"/>
                <w:kern w:val="0"/>
                <w:sz w:val="21"/>
                <w:szCs w:val="21"/>
              </w:rPr>
              <w:t>补正后申请内容仍不明确</w:t>
            </w:r>
            <w:bookmarkEnd w:id="7"/>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restart"/>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171" w:leftChars="-51" w:right="0"/>
              <w:rPr>
                <w:rFonts w:hint="eastAsia" w:ascii="黑体" w:hAnsi="黑体" w:eastAsia="黑体" w:cs="Times New Roman"/>
                <w:sz w:val="21"/>
                <w:szCs w:val="21"/>
              </w:rPr>
            </w:pPr>
            <w:r>
              <w:rPr>
                <w:rFonts w:hint="eastAsia" w:ascii="黑体" w:hAnsi="黑体" w:eastAsia="黑体" w:cs="Times New Roman"/>
                <w:kern w:val="0"/>
                <w:sz w:val="21"/>
                <w:szCs w:val="21"/>
              </w:rPr>
              <w:t>（五）不予处理</w:t>
            </w: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1.</w:t>
            </w:r>
            <w:bookmarkStart w:id="8" w:name="_Hlk66975537"/>
            <w:r>
              <w:rPr>
                <w:rFonts w:hint="eastAsia" w:ascii="仿宋_GB2312" w:hAnsi="黑体" w:eastAsia="仿宋_GB2312" w:cs="Times New Roman"/>
                <w:kern w:val="0"/>
                <w:sz w:val="21"/>
                <w:szCs w:val="21"/>
              </w:rPr>
              <w:t>信访举报投诉类申请</w:t>
            </w:r>
            <w:bookmarkEnd w:id="8"/>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2.重复申请</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99"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sz w:val="21"/>
                <w:szCs w:val="21"/>
              </w:rPr>
            </w:pPr>
            <w:r>
              <w:rPr>
                <w:rFonts w:hint="eastAsia" w:ascii="仿宋_GB2312" w:hAnsi="黑体" w:eastAsia="仿宋_GB2312" w:cs="Times New Roman"/>
                <w:kern w:val="0"/>
                <w:sz w:val="21"/>
                <w:szCs w:val="21"/>
              </w:rPr>
              <w:t>3.要求提供公开出版物</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leftChars="0" w:right="0" w:rightChars="0"/>
              <w:jc w:val="center"/>
              <w:rPr>
                <w:rFonts w:hint="eastAsia" w:ascii="仿宋_GB2312" w:hAnsi="Times New Roman" w:eastAsia="仿宋_GB2312" w:cs="Times New Roman"/>
                <w:sz w:val="21"/>
                <w:szCs w:val="21"/>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7" w:hRule="exact"/>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200" w:lineRule="exact"/>
              <w:ind w:left="0" w:right="0"/>
              <w:rPr>
                <w:rFonts w:hint="eastAsia" w:ascii="仿宋_GB2312" w:hAnsi="黑体" w:eastAsia="仿宋_GB2312" w:cs="Times New Roman"/>
                <w:sz w:val="21"/>
                <w:szCs w:val="21"/>
              </w:rPr>
            </w:pPr>
            <w:r>
              <w:rPr>
                <w:rFonts w:hint="eastAsia" w:ascii="仿宋_GB2312" w:hAnsi="黑体" w:eastAsia="仿宋_GB2312" w:cs="Times New Roman"/>
                <w:kern w:val="0"/>
                <w:sz w:val="21"/>
                <w:szCs w:val="21"/>
              </w:rPr>
              <w:t>4.无正当理由大量反复申请</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both"/>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line="200" w:lineRule="exact"/>
              <w:ind w:left="0" w:right="0"/>
              <w:rPr>
                <w:rFonts w:hint="eastAsia" w:ascii="黑体" w:hAnsi="黑体" w:eastAsia="黑体" w:cs="Times New Roman"/>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00" w:lineRule="exact"/>
              <w:ind w:left="0" w:right="0"/>
              <w:rPr>
                <w:rFonts w:hint="eastAsia" w:ascii="仿宋_GB2312" w:hAnsi="黑体" w:eastAsia="仿宋_GB2312" w:cs="Times New Roman"/>
                <w:kern w:val="0"/>
                <w:sz w:val="21"/>
                <w:szCs w:val="21"/>
              </w:rPr>
            </w:pPr>
            <w:r>
              <w:rPr>
                <w:rFonts w:hint="eastAsia" w:ascii="仿宋_GB2312" w:hAnsi="黑体" w:eastAsia="仿宋_GB2312" w:cs="Times New Roman"/>
                <w:kern w:val="0"/>
                <w:sz w:val="21"/>
                <w:szCs w:val="21"/>
              </w:rPr>
              <w:t>5.要求行政机关确认或重新</w:t>
            </w:r>
          </w:p>
          <w:p>
            <w:pPr>
              <w:keepNext w:val="0"/>
              <w:keepLines w:val="0"/>
              <w:widowControl/>
              <w:suppressLineNumbers w:val="0"/>
              <w:spacing w:before="0" w:beforeLines="0" w:beforeAutospacing="0" w:after="0" w:afterLines="0" w:afterAutospacing="0" w:line="300" w:lineRule="exact"/>
              <w:ind w:left="0" w:right="0" w:firstLine="226" w:firstLineChars="100"/>
              <w:rPr>
                <w:rFonts w:hint="eastAsia" w:ascii="仿宋_GB2312" w:hAnsi="黑体" w:eastAsia="仿宋_GB2312" w:cs="Times New Roman"/>
                <w:sz w:val="21"/>
                <w:szCs w:val="21"/>
              </w:rPr>
            </w:pPr>
            <w:r>
              <w:rPr>
                <w:rFonts w:hint="eastAsia" w:ascii="仿宋_GB2312" w:hAnsi="黑体" w:eastAsia="仿宋_GB2312" w:cs="Times New Roman"/>
                <w:kern w:val="0"/>
                <w:sz w:val="21"/>
                <w:szCs w:val="21"/>
              </w:rPr>
              <w:t>出具已获取信息</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restart"/>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00" w:lineRule="exact"/>
              <w:ind w:left="0" w:right="0"/>
              <w:rPr>
                <w:rFonts w:hint="eastAsia" w:ascii="黑体" w:hAnsi="黑体" w:eastAsia="黑体" w:cs="Times New Roman"/>
                <w:kern w:val="0"/>
                <w:sz w:val="21"/>
                <w:szCs w:val="21"/>
              </w:rPr>
            </w:pPr>
            <w:r>
              <w:rPr>
                <w:rFonts w:hint="eastAsia" w:ascii="黑体" w:hAnsi="黑体" w:eastAsia="黑体" w:cs="Times New Roman"/>
                <w:kern w:val="0"/>
                <w:sz w:val="21"/>
                <w:szCs w:val="21"/>
              </w:rPr>
              <w:t>（六）其他处理</w:t>
            </w:r>
          </w:p>
        </w:tc>
        <w:tc>
          <w:tcPr>
            <w:tcW w:w="297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rPr>
                <w:rFonts w:hint="eastAsia" w:ascii="仿宋_GB2312" w:hAnsi="楷体" w:eastAsia="仿宋_GB2312" w:cs="Times New Roman"/>
                <w:sz w:val="21"/>
                <w:szCs w:val="24"/>
              </w:rPr>
            </w:pPr>
            <w:r>
              <w:rPr>
                <w:rFonts w:hint="eastAsia" w:ascii="仿宋_GB2312" w:hAnsi="楷体" w:eastAsia="仿宋_GB2312" w:cs="Times New Roman"/>
                <w:sz w:val="21"/>
                <w:szCs w:val="24"/>
              </w:rPr>
              <w:t>1.申请人无正当理由逾期不补正、行政机关不再处理其政府信息公开申请</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00" w:lineRule="exact"/>
              <w:ind w:left="0" w:right="0"/>
              <w:rPr>
                <w:rFonts w:hint="eastAsia" w:ascii="黑体" w:hAnsi="黑体" w:eastAsia="黑体" w:cs="Times New Roman"/>
                <w:kern w:val="0"/>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rPr>
                <w:rFonts w:hint="eastAsia" w:ascii="仿宋_GB2312" w:hAnsi="黑体" w:eastAsia="仿宋_GB2312" w:cs="Times New Roman"/>
                <w:kern w:val="0"/>
                <w:sz w:val="21"/>
                <w:szCs w:val="21"/>
              </w:rPr>
            </w:pPr>
            <w:r>
              <w:rPr>
                <w:rFonts w:hint="eastAsia" w:ascii="仿宋_GB2312" w:hAnsi="楷体" w:eastAsia="仿宋_GB2312" w:cs="Times New Roman"/>
                <w:sz w:val="21"/>
                <w:szCs w:val="24"/>
              </w:rPr>
              <w:t>2.申请人逾期未按收费通知要求缴纳费用、行政机关不再处理其政府信息公开申请</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1701" w:type="dxa"/>
            <w:vMerge w:val="continue"/>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00" w:lineRule="exact"/>
              <w:ind w:left="0" w:right="0"/>
              <w:rPr>
                <w:rFonts w:hint="eastAsia" w:ascii="黑体" w:hAnsi="黑体" w:eastAsia="黑体" w:cs="Times New Roman"/>
                <w:kern w:val="0"/>
                <w:sz w:val="21"/>
                <w:szCs w:val="21"/>
              </w:rPr>
            </w:pPr>
          </w:p>
        </w:tc>
        <w:tc>
          <w:tcPr>
            <w:tcW w:w="2976" w:type="dxa"/>
            <w:tcBorders>
              <w:top w:val="single" w:color="auto" w:sz="4" w:space="0"/>
              <w:left w:val="single" w:color="auto" w:sz="4" w:space="0"/>
              <w:bottom w:val="single" w:color="auto" w:sz="4" w:space="0"/>
              <w:right w:val="single" w:color="auto" w:sz="4" w:space="0"/>
              <w:tl2br w:val="nil"/>
              <w:tr2bl w:val="nil"/>
            </w:tcBorders>
            <w:noWrap w:val="0"/>
            <w:vAlign w:val="center"/>
          </w:tcPr>
          <w:p>
            <w:pPr>
              <w:keepNext w:val="0"/>
              <w:keepLines w:val="0"/>
              <w:widowControl/>
              <w:suppressLineNumbers w:val="0"/>
              <w:spacing w:before="0" w:beforeLines="0" w:beforeAutospacing="0" w:after="0" w:afterLines="0" w:afterAutospacing="0" w:line="300" w:lineRule="exact"/>
              <w:ind w:left="0" w:right="0"/>
              <w:rPr>
                <w:rFonts w:hint="eastAsia" w:ascii="仿宋_GB2312" w:hAnsi="黑体" w:eastAsia="仿宋_GB2312" w:cs="Times New Roman"/>
                <w:kern w:val="0"/>
                <w:sz w:val="21"/>
                <w:szCs w:val="21"/>
              </w:rPr>
            </w:pPr>
            <w:r>
              <w:rPr>
                <w:rFonts w:hint="eastAsia" w:ascii="仿宋_GB2312" w:hAnsi="楷体" w:eastAsia="仿宋_GB2312" w:cs="Times New Roman"/>
                <w:sz w:val="21"/>
                <w:szCs w:val="24"/>
              </w:rPr>
              <w:t>3.其他</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416" w:type="dxa"/>
            <w:vMerge w:val="continue"/>
            <w:tcBorders>
              <w:top w:val="single" w:color="auto" w:sz="4" w:space="0"/>
              <w:left w:val="single" w:color="auto" w:sz="8" w:space="0"/>
              <w:bottom w:val="single" w:color="auto" w:sz="4" w:space="0"/>
              <w:right w:val="single" w:color="auto" w:sz="4" w:space="0"/>
              <w:tl2br w:val="nil"/>
              <w:tr2bl w:val="nil"/>
            </w:tcBorders>
            <w:noWrap w:val="0"/>
            <w:tcMar>
              <w:left w:w="108" w:type="dxa"/>
              <w:right w:w="108" w:type="dxa"/>
            </w:tcMar>
            <w:vAlign w:val="center"/>
          </w:tcPr>
          <w:p>
            <w:pPr>
              <w:keepNext w:val="0"/>
              <w:keepLines w:val="0"/>
              <w:suppressLineNumbers w:val="0"/>
              <w:spacing w:before="0" w:beforeLines="0" w:beforeAutospacing="0" w:after="0" w:afterLines="0" w:afterAutospacing="0"/>
              <w:ind w:left="0" w:right="0"/>
              <w:rPr>
                <w:rFonts w:hint="eastAsia" w:ascii="黑体" w:hAnsi="黑体" w:eastAsia="黑体" w:cs="Times New Roman"/>
                <w:sz w:val="21"/>
                <w:szCs w:val="21"/>
              </w:rPr>
            </w:pPr>
          </w:p>
        </w:tc>
        <w:tc>
          <w:tcPr>
            <w:tcW w:w="4677" w:type="dxa"/>
            <w:gridSpan w:val="2"/>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00" w:lineRule="exact"/>
              <w:ind w:left="0" w:right="0"/>
              <w:rPr>
                <w:rFonts w:hint="eastAsia" w:ascii="黑体" w:hAnsi="黑体" w:eastAsia="黑体" w:cs="Times New Roman"/>
                <w:kern w:val="0"/>
                <w:sz w:val="21"/>
                <w:szCs w:val="21"/>
              </w:rPr>
            </w:pPr>
            <w:r>
              <w:rPr>
                <w:rFonts w:hint="eastAsia" w:ascii="黑体" w:hAnsi="黑体" w:eastAsia="黑体" w:cs="Times New Roman"/>
                <w:kern w:val="0"/>
                <w:sz w:val="21"/>
                <w:szCs w:val="21"/>
              </w:rPr>
              <w:t>（七）总计</w:t>
            </w:r>
          </w:p>
        </w:tc>
        <w:tc>
          <w:tcPr>
            <w:tcW w:w="829"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21</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4"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4"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default" w:ascii="仿宋_GB2312" w:hAnsi="Times New Roman" w:eastAsia="仿宋_GB2312" w:cs="Times New Roman"/>
                <w:sz w:val="21"/>
                <w:szCs w:val="21"/>
                <w:lang w:val="en-US" w:eastAsia="zh-CN"/>
              </w:rPr>
            </w:pPr>
            <w:r>
              <w:rPr>
                <w:rFonts w:hint="eastAsia" w:ascii="仿宋_GB2312" w:cs="Times New Roman"/>
                <w:sz w:val="21"/>
                <w:szCs w:val="21"/>
                <w:lang w:val="en-US" w:eastAsia="zh-CN"/>
              </w:rPr>
              <w:t>21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093" w:type="dxa"/>
            <w:gridSpan w:val="3"/>
            <w:tcBorders>
              <w:top w:val="single" w:color="auto" w:sz="4" w:space="0"/>
              <w:left w:val="single" w:color="auto" w:sz="8"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0" w:afterLines="0" w:afterAutospacing="0" w:line="300" w:lineRule="exact"/>
              <w:ind w:left="0" w:right="0"/>
              <w:rPr>
                <w:rFonts w:hint="eastAsia" w:ascii="黑体" w:hAnsi="黑体" w:eastAsia="黑体" w:cs="Times New Roman"/>
                <w:kern w:val="0"/>
                <w:sz w:val="21"/>
                <w:szCs w:val="21"/>
              </w:rPr>
            </w:pPr>
            <w:r>
              <w:rPr>
                <w:rFonts w:hint="eastAsia" w:ascii="黑体" w:hAnsi="黑体" w:eastAsia="黑体" w:cs="Times New Roman"/>
                <w:kern w:val="0"/>
                <w:sz w:val="21"/>
                <w:szCs w:val="21"/>
              </w:rPr>
              <w:t>四、结转下年度继续办理</w:t>
            </w:r>
          </w:p>
        </w:tc>
        <w:tc>
          <w:tcPr>
            <w:tcW w:w="829" w:type="dxa"/>
            <w:tcBorders>
              <w:top w:val="single" w:color="auto" w:sz="4" w:space="0"/>
              <w:left w:val="single" w:color="auto" w:sz="4"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line="200" w:lineRule="exact"/>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31" w:type="dxa"/>
            <w:tcBorders>
              <w:top w:val="single" w:color="auto" w:sz="4" w:space="0"/>
              <w:left w:val="single" w:color="auto" w:sz="4"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708" w:type="dxa"/>
            <w:tcBorders>
              <w:top w:val="single" w:color="auto" w:sz="4" w:space="0"/>
              <w:left w:val="single" w:color="auto" w:sz="4"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567" w:type="dxa"/>
            <w:tcBorders>
              <w:top w:val="single" w:color="auto" w:sz="4" w:space="0"/>
              <w:left w:val="single" w:color="auto" w:sz="4" w:space="0"/>
              <w:bottom w:val="single" w:color="auto" w:sz="8" w:space="0"/>
              <w:right w:val="single" w:color="auto" w:sz="4"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c>
          <w:tcPr>
            <w:tcW w:w="851" w:type="dxa"/>
            <w:tcBorders>
              <w:top w:val="single" w:color="auto" w:sz="4" w:space="0"/>
              <w:left w:val="single" w:color="auto" w:sz="4" w:space="0"/>
              <w:bottom w:val="single" w:color="auto" w:sz="8" w:space="0"/>
              <w:right w:val="single" w:color="auto" w:sz="8" w:space="0"/>
              <w:tl2br w:val="nil"/>
              <w:tr2bl w:val="nil"/>
            </w:tcBorders>
            <w:noWrap w:val="0"/>
            <w:tcMar>
              <w:left w:w="108" w:type="dxa"/>
              <w:right w:w="108" w:type="dxa"/>
            </w:tcMar>
            <w:vAlign w:val="center"/>
          </w:tcPr>
          <w:p>
            <w:pPr>
              <w:keepNext w:val="0"/>
              <w:keepLines w:val="0"/>
              <w:widowControl/>
              <w:suppressLineNumbers w:val="0"/>
              <w:spacing w:before="0" w:beforeLines="0" w:beforeAutospacing="0" w:after="180" w:afterLines="0" w:afterAutospacing="0"/>
              <w:ind w:left="0" w:right="0"/>
              <w:jc w:val="center"/>
              <w:rPr>
                <w:rFonts w:hint="eastAsia" w:ascii="仿宋_GB2312" w:hAnsi="Times New Roman" w:eastAsia="仿宋_GB2312" w:cs="Times New Roman"/>
                <w:sz w:val="21"/>
                <w:szCs w:val="21"/>
                <w:lang w:val="en-US" w:eastAsia="zh-CN"/>
              </w:rPr>
            </w:pPr>
            <w:r>
              <w:rPr>
                <w:rFonts w:hint="eastAsia" w:ascii="仿宋_GB2312" w:cs="Times New Roman"/>
                <w:sz w:val="21"/>
                <w:szCs w:val="21"/>
                <w:lang w:val="en-US" w:eastAsia="zh-CN"/>
              </w:rPr>
              <w:t>0</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rFonts w:hint="eastAsia" w:ascii="微软雅黑" w:hAnsi="微软雅黑" w:eastAsia="微软雅黑" w:cs="微软雅黑"/>
          <w:sz w:val="24"/>
          <w:szCs w:val="24"/>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黑体" w:hAnsi="黑体" w:eastAsia="黑体" w:cs="黑体"/>
          <w:b/>
          <w:bCs/>
          <w:sz w:val="32"/>
          <w:szCs w:val="32"/>
        </w:rPr>
      </w:pPr>
      <w:r>
        <w:rPr>
          <w:rFonts w:hint="eastAsia" w:ascii="黑体" w:hAnsi="黑体" w:eastAsia="黑体" w:cs="黑体"/>
          <w:b/>
          <w:bCs/>
          <w:i w:val="0"/>
          <w:iCs w:val="0"/>
          <w:caps w:val="0"/>
          <w:color w:val="000000"/>
          <w:spacing w:val="0"/>
          <w:sz w:val="32"/>
          <w:szCs w:val="32"/>
          <w:shd w:val="clear" w:fill="FFFFFF"/>
        </w:rPr>
        <w:t>四、政府信息公开行政复议、行政诉讼情况</w:t>
      </w:r>
    </w:p>
    <w:tbl>
      <w:tblPr>
        <w:tblStyle w:val="5"/>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497" w:hRule="atLeast"/>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黑体" w:hAnsi="黑体" w:eastAsia="黑体" w:cs="Times New Roman"/>
              </w:rPr>
            </w:pPr>
            <w:r>
              <w:rPr>
                <w:rFonts w:hint="default" w:ascii="黑体" w:hAnsi="黑体" w:eastAsia="黑体" w:cs="Times New Roman"/>
                <w:kern w:val="0"/>
                <w:sz w:val="20"/>
                <w:szCs w:val="20"/>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黑体" w:hAnsi="黑体" w:eastAsia="黑体" w:cs="Times New Roman"/>
              </w:rPr>
            </w:pPr>
            <w:r>
              <w:rPr>
                <w:rFonts w:hint="default" w:ascii="黑体" w:hAnsi="黑体" w:eastAsia="黑体" w:cs="Times New Roman"/>
                <w:kern w:val="0"/>
                <w:sz w:val="20"/>
                <w:szCs w:val="20"/>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47" w:hRule="atLeast"/>
          <w:jc w:val="center"/>
        </w:trPr>
        <w:tc>
          <w:tcPr>
            <w:tcW w:w="604"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238" w:leftChars="-71" w:right="-272" w:rightChars="-81"/>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结果</w:t>
            </w:r>
          </w:p>
          <w:p>
            <w:pPr>
              <w:keepNext w:val="0"/>
              <w:keepLines w:val="0"/>
              <w:widowControl/>
              <w:suppressLineNumbers w:val="0"/>
              <w:spacing w:before="0" w:beforeAutospacing="0" w:after="0" w:afterAutospacing="0"/>
              <w:ind w:left="-238" w:leftChars="-71" w:right="-272" w:rightChars="-81"/>
              <w:jc w:val="center"/>
              <w:rPr>
                <w:rFonts w:hint="default" w:ascii="黑体" w:hAnsi="黑体" w:eastAsia="黑体" w:cs="Times New Roman"/>
              </w:rPr>
            </w:pPr>
            <w:r>
              <w:rPr>
                <w:rFonts w:hint="default" w:ascii="黑体" w:hAnsi="黑体" w:eastAsia="黑体" w:cs="Times New Roman"/>
                <w:kern w:val="0"/>
                <w:sz w:val="20"/>
                <w:szCs w:val="20"/>
              </w:rPr>
              <w:t>维持</w:t>
            </w:r>
          </w:p>
        </w:tc>
        <w:tc>
          <w:tcPr>
            <w:tcW w:w="604" w:type="dxa"/>
            <w:vMerge w:val="restart"/>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69" w:leftChars="-21" w:right="-211" w:rightChars="-63" w:hanging="1"/>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结果</w:t>
            </w:r>
          </w:p>
          <w:p>
            <w:pPr>
              <w:keepNext w:val="0"/>
              <w:keepLines w:val="0"/>
              <w:widowControl/>
              <w:suppressLineNumbers w:val="0"/>
              <w:spacing w:before="0" w:beforeAutospacing="0" w:after="0" w:afterAutospacing="0"/>
              <w:ind w:left="-69" w:leftChars="-21" w:right="-211" w:rightChars="-63" w:hanging="1"/>
              <w:jc w:val="center"/>
              <w:rPr>
                <w:rFonts w:hint="default" w:ascii="黑体" w:hAnsi="黑体" w:eastAsia="黑体" w:cs="Times New Roman"/>
              </w:rPr>
            </w:pPr>
            <w:r>
              <w:rPr>
                <w:rFonts w:hint="default" w:ascii="黑体" w:hAnsi="黑体" w:eastAsia="黑体" w:cs="Times New Roman"/>
                <w:kern w:val="0"/>
                <w:sz w:val="20"/>
                <w:szCs w:val="20"/>
              </w:rPr>
              <w:t>纠正</w:t>
            </w:r>
          </w:p>
        </w:tc>
        <w:tc>
          <w:tcPr>
            <w:tcW w:w="604" w:type="dxa"/>
            <w:vMerge w:val="restart"/>
            <w:tcBorders>
              <w:top w:val="single" w:color="auto" w:sz="8"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131" w:leftChars="-39" w:right="-154" w:rightChars="-46"/>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其他</w:t>
            </w:r>
          </w:p>
          <w:p>
            <w:pPr>
              <w:keepNext w:val="0"/>
              <w:keepLines w:val="0"/>
              <w:widowControl/>
              <w:suppressLineNumbers w:val="0"/>
              <w:spacing w:before="0" w:beforeAutospacing="0" w:after="0" w:afterAutospacing="0"/>
              <w:ind w:left="-131" w:leftChars="-39" w:right="-154" w:rightChars="-46"/>
              <w:jc w:val="center"/>
              <w:rPr>
                <w:rFonts w:hint="default" w:ascii="黑体" w:hAnsi="黑体" w:eastAsia="黑体" w:cs="Times New Roman"/>
              </w:rPr>
            </w:pPr>
            <w:r>
              <w:rPr>
                <w:rFonts w:hint="default" w:ascii="黑体" w:hAnsi="黑体" w:eastAsia="黑体" w:cs="Times New Roman"/>
                <w:kern w:val="0"/>
                <w:sz w:val="20"/>
                <w:szCs w:val="20"/>
              </w:rPr>
              <w:t>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188" w:leftChars="-56" w:right="-188" w:rightChars="-56"/>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尚未</w:t>
            </w:r>
          </w:p>
          <w:p>
            <w:pPr>
              <w:keepNext w:val="0"/>
              <w:keepLines w:val="0"/>
              <w:widowControl/>
              <w:suppressLineNumbers w:val="0"/>
              <w:spacing w:before="0" w:beforeAutospacing="0" w:after="0" w:afterAutospacing="0"/>
              <w:ind w:left="-188" w:leftChars="-56" w:right="-188" w:rightChars="-56"/>
              <w:jc w:val="center"/>
              <w:rPr>
                <w:rFonts w:hint="default" w:ascii="黑体" w:hAnsi="黑体" w:eastAsia="黑体" w:cs="Times New Roman"/>
              </w:rPr>
            </w:pPr>
            <w:r>
              <w:rPr>
                <w:rFonts w:hint="default" w:ascii="黑体" w:hAnsi="黑体" w:eastAsia="黑体" w:cs="Times New Roman"/>
                <w:kern w:val="0"/>
                <w:sz w:val="20"/>
                <w:szCs w:val="20"/>
              </w:rPr>
              <w:t>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line="320" w:lineRule="exact"/>
              <w:ind w:left="0" w:right="0"/>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总</w:t>
            </w:r>
          </w:p>
          <w:p>
            <w:pPr>
              <w:keepNext w:val="0"/>
              <w:keepLines w:val="0"/>
              <w:widowControl/>
              <w:suppressLineNumbers w:val="0"/>
              <w:spacing w:before="0" w:beforeAutospacing="0" w:after="0" w:afterAutospacing="0" w:line="320" w:lineRule="exact"/>
              <w:ind w:left="0" w:right="0"/>
              <w:jc w:val="center"/>
              <w:rPr>
                <w:rFonts w:hint="default" w:ascii="黑体" w:hAnsi="黑体" w:eastAsia="黑体" w:cs="Times New Roman"/>
              </w:rPr>
            </w:pPr>
            <w:r>
              <w:rPr>
                <w:rFonts w:hint="default" w:ascii="黑体" w:hAnsi="黑体" w:eastAsia="黑体" w:cs="Times New Roman"/>
                <w:kern w:val="0"/>
                <w:sz w:val="20"/>
                <w:szCs w:val="20"/>
              </w:rPr>
              <w:t>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黑体" w:hAnsi="黑体" w:eastAsia="黑体" w:cs="Times New Roman"/>
              </w:rPr>
            </w:pPr>
            <w:r>
              <w:rPr>
                <w:rFonts w:hint="default" w:ascii="黑体" w:hAnsi="黑体" w:eastAsia="黑体" w:cs="Times New Roman"/>
                <w:kern w:val="0"/>
                <w:sz w:val="20"/>
                <w:szCs w:val="20"/>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黑体" w:hAnsi="黑体" w:eastAsia="黑体" w:cs="Times New Roman"/>
              </w:rPr>
            </w:pPr>
            <w:bookmarkStart w:id="9" w:name="_Hlk67039688"/>
            <w:r>
              <w:rPr>
                <w:rFonts w:hint="default" w:ascii="黑体" w:hAnsi="黑体" w:eastAsia="黑体" w:cs="Times New Roman"/>
                <w:kern w:val="0"/>
                <w:sz w:val="20"/>
                <w:szCs w:val="20"/>
              </w:rPr>
              <w:t>复议后起诉</w:t>
            </w:r>
            <w:bookmarkEnd w:id="9"/>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06" w:hRule="atLeast"/>
          <w:jc w:val="center"/>
        </w:trPr>
        <w:tc>
          <w:tcPr>
            <w:tcW w:w="604" w:type="dxa"/>
            <w:vMerge w:val="continue"/>
            <w:tcBorders>
              <w:top w:val="single" w:color="auto" w:sz="4" w:space="0"/>
              <w:left w:val="single" w:color="auto" w:sz="4" w:space="0"/>
              <w:bottom w:val="single" w:color="auto" w:sz="4" w:space="0"/>
              <w:right w:val="single" w:color="auto" w:sz="8" w:space="0"/>
            </w:tcBorders>
            <w:shd w:val="clear" w:color="auto" w:fill="auto"/>
            <w:tcMar>
              <w:left w:w="108" w:type="dxa"/>
              <w:right w:w="108" w:type="dxa"/>
            </w:tcMar>
            <w:vAlign w:val="center"/>
          </w:tcPr>
          <w:p>
            <w:pPr>
              <w:keepNext w:val="0"/>
              <w:keepLines w:val="0"/>
              <w:suppressLineNumbers w:val="0"/>
              <w:spacing w:before="0" w:beforeAutospacing="0" w:after="0" w:afterAutospacing="0"/>
              <w:ind w:left="0" w:right="0"/>
              <w:rPr>
                <w:rFonts w:hint="default" w:ascii="黑体" w:hAnsi="黑体" w:eastAsia="黑体" w:cs="Times New Roman"/>
                <w:sz w:val="24"/>
              </w:rPr>
            </w:pPr>
          </w:p>
        </w:tc>
        <w:tc>
          <w:tcPr>
            <w:tcW w:w="604" w:type="dxa"/>
            <w:vMerge w:val="continue"/>
            <w:tcBorders>
              <w:top w:val="single" w:color="auto" w:sz="4" w:space="0"/>
              <w:left w:val="nil"/>
              <w:bottom w:val="single" w:color="auto" w:sz="4" w:space="0"/>
              <w:right w:val="single" w:color="auto" w:sz="4" w:space="0"/>
            </w:tcBorders>
            <w:shd w:val="clear" w:color="auto" w:fill="auto"/>
            <w:tcMar>
              <w:left w:w="108" w:type="dxa"/>
              <w:right w:w="108" w:type="dxa"/>
            </w:tcMar>
            <w:vAlign w:val="center"/>
          </w:tcPr>
          <w:p>
            <w:pPr>
              <w:keepNext w:val="0"/>
              <w:keepLines w:val="0"/>
              <w:suppressLineNumbers w:val="0"/>
              <w:spacing w:before="0" w:beforeAutospacing="0" w:after="0" w:afterAutospacing="0"/>
              <w:ind w:left="0" w:right="0"/>
              <w:rPr>
                <w:rFonts w:hint="default" w:ascii="黑体" w:hAnsi="黑体" w:eastAsia="黑体" w:cs="Times New Roman"/>
                <w:sz w:val="24"/>
              </w:rPr>
            </w:pPr>
          </w:p>
        </w:tc>
        <w:tc>
          <w:tcPr>
            <w:tcW w:w="604" w:type="dxa"/>
            <w:vMerge w:val="continue"/>
            <w:tcBorders>
              <w:top w:val="single" w:color="auto" w:sz="8"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suppressLineNumbers w:val="0"/>
              <w:spacing w:before="0" w:beforeAutospacing="0" w:after="0" w:afterAutospacing="0"/>
              <w:ind w:left="0" w:right="0"/>
              <w:rPr>
                <w:rFonts w:hint="default" w:ascii="黑体" w:hAnsi="黑体" w:eastAsia="黑体" w:cs="Times New Roman"/>
                <w:sz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suppressLineNumbers w:val="0"/>
              <w:spacing w:before="0" w:beforeAutospacing="0" w:after="0" w:afterAutospacing="0"/>
              <w:ind w:left="0" w:right="0"/>
              <w:rPr>
                <w:rFonts w:hint="default" w:ascii="黑体" w:hAnsi="黑体" w:eastAsia="黑体" w:cs="Times New Roman"/>
                <w:sz w:val="24"/>
              </w:rPr>
            </w:pPr>
          </w:p>
        </w:tc>
        <w:tc>
          <w:tcPr>
            <w:tcW w:w="658" w:type="dxa"/>
            <w:vMerge w:val="continue"/>
            <w:tcBorders>
              <w:top w:val="single" w:color="auto" w:sz="8" w:space="0"/>
              <w:left w:val="nil"/>
              <w:bottom w:val="single" w:color="auto" w:sz="8" w:space="0"/>
              <w:right w:val="single" w:color="auto" w:sz="4" w:space="0"/>
            </w:tcBorders>
            <w:shd w:val="clear" w:color="auto" w:fill="auto"/>
            <w:tcMar>
              <w:left w:w="108" w:type="dxa"/>
              <w:right w:w="108" w:type="dxa"/>
            </w:tcMar>
            <w:vAlign w:val="center"/>
          </w:tcPr>
          <w:p>
            <w:pPr>
              <w:keepNext w:val="0"/>
              <w:keepLines w:val="0"/>
              <w:suppressLineNumbers w:val="0"/>
              <w:spacing w:before="0" w:beforeAutospacing="0" w:after="0" w:afterAutospacing="0"/>
              <w:ind w:left="0" w:right="0"/>
              <w:rPr>
                <w:rFonts w:hint="default" w:ascii="黑体" w:hAnsi="黑体" w:eastAsia="黑体" w:cs="Times New Roman"/>
                <w:sz w:val="24"/>
              </w:rPr>
            </w:pPr>
          </w:p>
        </w:tc>
        <w:tc>
          <w:tcPr>
            <w:tcW w:w="550"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168" w:leftChars="-50" w:right="-201" w:rightChars="-60"/>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结果</w:t>
            </w:r>
          </w:p>
          <w:p>
            <w:pPr>
              <w:keepNext w:val="0"/>
              <w:keepLines w:val="0"/>
              <w:widowControl/>
              <w:suppressLineNumbers w:val="0"/>
              <w:spacing w:before="0" w:beforeAutospacing="0" w:after="0" w:afterAutospacing="0"/>
              <w:ind w:left="-168" w:leftChars="-50" w:right="-201" w:rightChars="-60"/>
              <w:jc w:val="center"/>
              <w:rPr>
                <w:rFonts w:hint="default" w:ascii="黑体" w:hAnsi="黑体" w:eastAsia="黑体" w:cs="Times New Roman"/>
              </w:rPr>
            </w:pPr>
            <w:r>
              <w:rPr>
                <w:rFonts w:hint="default" w:ascii="黑体" w:hAnsi="黑体" w:eastAsia="黑体" w:cs="Times New Roman"/>
                <w:kern w:val="0"/>
                <w:sz w:val="20"/>
                <w:szCs w:val="20"/>
              </w:rPr>
              <w:t>维持</w:t>
            </w:r>
          </w:p>
        </w:tc>
        <w:tc>
          <w:tcPr>
            <w:tcW w:w="60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137" w:leftChars="-41" w:right="-141" w:rightChars="-42"/>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结果</w:t>
            </w:r>
          </w:p>
          <w:p>
            <w:pPr>
              <w:keepNext w:val="0"/>
              <w:keepLines w:val="0"/>
              <w:widowControl/>
              <w:suppressLineNumbers w:val="0"/>
              <w:spacing w:before="0" w:beforeAutospacing="0" w:after="0" w:afterAutospacing="0"/>
              <w:ind w:left="-137" w:leftChars="-41" w:right="-141" w:rightChars="-42"/>
              <w:jc w:val="center"/>
              <w:rPr>
                <w:rFonts w:hint="default" w:ascii="黑体" w:hAnsi="黑体" w:eastAsia="黑体" w:cs="Times New Roman"/>
              </w:rPr>
            </w:pPr>
            <w:r>
              <w:rPr>
                <w:rFonts w:hint="default" w:ascii="黑体" w:hAnsi="黑体" w:eastAsia="黑体" w:cs="Times New Roman"/>
                <w:kern w:val="0"/>
                <w:sz w:val="20"/>
                <w:szCs w:val="20"/>
              </w:rPr>
              <w:t>纠正</w:t>
            </w:r>
          </w:p>
        </w:tc>
        <w:tc>
          <w:tcPr>
            <w:tcW w:w="605" w:type="dxa"/>
            <w:tcBorders>
              <w:top w:val="single" w:color="auto" w:sz="4" w:space="0"/>
              <w:left w:val="single" w:color="auto" w:sz="4" w:space="0"/>
              <w:bottom w:val="single" w:color="auto" w:sz="4" w:space="0"/>
              <w:right w:val="single" w:color="auto" w:sz="4"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201" w:leftChars="-60" w:right="-218" w:rightChars="-65"/>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其他</w:t>
            </w:r>
          </w:p>
          <w:p>
            <w:pPr>
              <w:keepNext w:val="0"/>
              <w:keepLines w:val="0"/>
              <w:widowControl/>
              <w:suppressLineNumbers w:val="0"/>
              <w:spacing w:before="0" w:beforeAutospacing="0" w:after="0" w:afterAutospacing="0"/>
              <w:ind w:left="-201" w:leftChars="-60" w:right="-218" w:rightChars="-65"/>
              <w:jc w:val="center"/>
              <w:rPr>
                <w:rFonts w:hint="default" w:ascii="黑体" w:hAnsi="黑体" w:eastAsia="黑体" w:cs="Times New Roman"/>
              </w:rPr>
            </w:pPr>
            <w:r>
              <w:rPr>
                <w:rFonts w:hint="default" w:ascii="黑体" w:hAnsi="黑体" w:eastAsia="黑体" w:cs="Times New Roman"/>
                <w:kern w:val="0"/>
                <w:sz w:val="20"/>
                <w:szCs w:val="20"/>
              </w:rPr>
              <w:t>结果</w:t>
            </w:r>
          </w:p>
        </w:tc>
        <w:tc>
          <w:tcPr>
            <w:tcW w:w="605" w:type="dxa"/>
            <w:tcBorders>
              <w:top w:val="single" w:color="auto" w:sz="8" w:space="0"/>
              <w:left w:val="single" w:color="auto" w:sz="4"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262" w:leftChars="-78" w:right="-245" w:rightChars="-73"/>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尚未</w:t>
            </w:r>
          </w:p>
          <w:p>
            <w:pPr>
              <w:keepNext w:val="0"/>
              <w:keepLines w:val="0"/>
              <w:widowControl/>
              <w:suppressLineNumbers w:val="0"/>
              <w:spacing w:before="0" w:beforeAutospacing="0" w:after="0" w:afterAutospacing="0"/>
              <w:ind w:left="-262" w:leftChars="-78" w:right="-245" w:rightChars="-73"/>
              <w:jc w:val="center"/>
              <w:rPr>
                <w:rFonts w:hint="default" w:ascii="黑体" w:hAnsi="黑体" w:eastAsia="黑体" w:cs="Times New Roman"/>
              </w:rPr>
            </w:pPr>
            <w:r>
              <w:rPr>
                <w:rFonts w:hint="default" w:ascii="黑体" w:hAnsi="黑体" w:eastAsia="黑体" w:cs="Times New Roman"/>
                <w:kern w:val="0"/>
                <w:sz w:val="20"/>
                <w:szCs w:val="20"/>
              </w:rPr>
              <w:t>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黑体" w:hAnsi="黑体" w:eastAsia="黑体" w:cs="Times New Roman"/>
              </w:rPr>
            </w:pPr>
            <w:r>
              <w:rPr>
                <w:rFonts w:hint="default" w:ascii="黑体" w:hAnsi="黑体" w:eastAsia="黑体" w:cs="Times New Roman"/>
                <w:kern w:val="0"/>
                <w:sz w:val="20"/>
                <w:szCs w:val="20"/>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157" w:leftChars="-47" w:right="-124" w:rightChars="-37"/>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结果</w:t>
            </w:r>
          </w:p>
          <w:p>
            <w:pPr>
              <w:keepNext w:val="0"/>
              <w:keepLines w:val="0"/>
              <w:widowControl/>
              <w:suppressLineNumbers w:val="0"/>
              <w:spacing w:before="0" w:beforeAutospacing="0" w:after="0" w:afterAutospacing="0"/>
              <w:ind w:left="-157" w:leftChars="-47" w:right="-124" w:rightChars="-37"/>
              <w:jc w:val="center"/>
              <w:rPr>
                <w:rFonts w:hint="default" w:ascii="黑体" w:hAnsi="黑体" w:eastAsia="黑体" w:cs="Times New Roman"/>
              </w:rPr>
            </w:pPr>
            <w:r>
              <w:rPr>
                <w:rFonts w:hint="default" w:ascii="黑体" w:hAnsi="黑体" w:eastAsia="黑体" w:cs="Times New Roman"/>
                <w:kern w:val="0"/>
                <w:sz w:val="20"/>
                <w:szCs w:val="20"/>
              </w:rPr>
              <w:t>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218" w:leftChars="-65" w:right="-198" w:rightChars="-59"/>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结果</w:t>
            </w:r>
          </w:p>
          <w:p>
            <w:pPr>
              <w:keepNext w:val="0"/>
              <w:keepLines w:val="0"/>
              <w:widowControl/>
              <w:suppressLineNumbers w:val="0"/>
              <w:spacing w:before="0" w:beforeAutospacing="0" w:after="0" w:afterAutospacing="0"/>
              <w:ind w:left="-218" w:leftChars="-65" w:right="-198" w:rightChars="-59"/>
              <w:jc w:val="center"/>
              <w:rPr>
                <w:rFonts w:hint="default" w:ascii="黑体" w:hAnsi="黑体" w:eastAsia="黑体" w:cs="Times New Roman"/>
              </w:rPr>
            </w:pPr>
            <w:r>
              <w:rPr>
                <w:rFonts w:hint="default" w:ascii="黑体" w:hAnsi="黑体" w:eastAsia="黑体" w:cs="Times New Roman"/>
                <w:kern w:val="0"/>
                <w:sz w:val="20"/>
                <w:szCs w:val="20"/>
              </w:rPr>
              <w:t>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277" w:leftChars="-83" w:right="-215" w:rightChars="-64" w:hanging="1"/>
              <w:jc w:val="center"/>
              <w:rPr>
                <w:rFonts w:hint="default" w:ascii="黑体" w:hAnsi="黑体" w:eastAsia="黑体" w:cs="Times New Roman"/>
                <w:kern w:val="0"/>
                <w:sz w:val="20"/>
                <w:szCs w:val="20"/>
              </w:rPr>
            </w:pPr>
            <w:r>
              <w:rPr>
                <w:rFonts w:hint="default" w:ascii="黑体" w:hAnsi="黑体" w:eastAsia="黑体" w:cs="Times New Roman"/>
                <w:kern w:val="0"/>
                <w:sz w:val="20"/>
                <w:szCs w:val="20"/>
              </w:rPr>
              <w:t>其他</w:t>
            </w:r>
          </w:p>
          <w:p>
            <w:pPr>
              <w:keepNext w:val="0"/>
              <w:keepLines w:val="0"/>
              <w:widowControl/>
              <w:suppressLineNumbers w:val="0"/>
              <w:spacing w:before="0" w:beforeAutospacing="0" w:after="0" w:afterAutospacing="0"/>
              <w:ind w:left="-277" w:leftChars="-83" w:right="-215" w:rightChars="-64" w:hanging="1"/>
              <w:jc w:val="center"/>
              <w:rPr>
                <w:rFonts w:hint="default" w:ascii="黑体" w:hAnsi="黑体" w:eastAsia="黑体" w:cs="Times New Roman"/>
              </w:rPr>
            </w:pPr>
            <w:r>
              <w:rPr>
                <w:rFonts w:hint="default" w:ascii="黑体" w:hAnsi="黑体" w:eastAsia="黑体" w:cs="Times New Roman"/>
                <w:kern w:val="0"/>
                <w:sz w:val="20"/>
                <w:szCs w:val="20"/>
              </w:rPr>
              <w:t>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108" w:leftChars="-33" w:right="-168" w:rightChars="-50" w:hanging="2" w:hangingChars="1"/>
              <w:jc w:val="center"/>
              <w:rPr>
                <w:rFonts w:hint="default" w:ascii="黑体" w:hAnsi="黑体" w:eastAsia="黑体" w:cs="Times New Roman"/>
              </w:rPr>
            </w:pPr>
            <w:r>
              <w:rPr>
                <w:rFonts w:hint="default" w:ascii="黑体" w:hAnsi="黑体" w:eastAsia="黑体" w:cs="Times New Roman"/>
                <w:kern w:val="0"/>
                <w:sz w:val="20"/>
                <w:szCs w:val="20"/>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0" w:afterAutospacing="0"/>
              <w:ind w:left="0" w:right="0"/>
              <w:jc w:val="center"/>
              <w:rPr>
                <w:rFonts w:hint="default" w:ascii="黑体" w:hAnsi="黑体" w:eastAsia="黑体" w:cs="Times New Roman"/>
              </w:rPr>
            </w:pPr>
            <w:r>
              <w:rPr>
                <w:rFonts w:hint="default" w:ascii="黑体" w:hAnsi="黑体" w:eastAsia="黑体" w:cs="Times New Roman"/>
                <w:kern w:val="0"/>
                <w:sz w:val="20"/>
                <w:szCs w:val="20"/>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single" w:color="auto" w:sz="4"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4"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550"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single" w:color="auto" w:sz="4"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spacing w:before="0" w:beforeAutospacing="0" w:after="180" w:afterAutospacing="0"/>
              <w:ind w:left="0" w:right="0"/>
              <w:jc w:val="center"/>
              <w:rPr>
                <w:rFonts w:hint="eastAsia" w:ascii="Times New Roman" w:hAnsi="Times New Roman" w:eastAsia="仿宋_GB2312" w:cs="Times New Roman"/>
                <w:lang w:val="en-US" w:eastAsia="zh-CN"/>
              </w:rPr>
            </w:pPr>
            <w:r>
              <w:rPr>
                <w:rFonts w:hint="eastAsia" w:ascii="Times New Roman" w:hAnsi="Times New Roman" w:cs="Times New Roman"/>
                <w:lang w:val="en-US" w:eastAsia="zh-CN"/>
              </w:rPr>
              <w:t>0</w:t>
            </w:r>
          </w:p>
        </w:tc>
      </w:tr>
    </w:tbl>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i w:val="0"/>
          <w:iCs w:val="0"/>
          <w:caps w:val="0"/>
          <w:color w:val="000000"/>
          <w:spacing w:val="0"/>
          <w:sz w:val="24"/>
          <w:szCs w:val="24"/>
          <w:shd w:val="clear" w:fill="FFFFFF"/>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微软雅黑" w:hAnsi="微软雅黑" w:eastAsia="微软雅黑" w:cs="微软雅黑"/>
          <w:sz w:val="24"/>
          <w:szCs w:val="24"/>
        </w:rPr>
      </w:pPr>
      <w:r>
        <w:rPr>
          <w:rFonts w:hint="eastAsia" w:ascii="黑体" w:hAnsi="黑体" w:eastAsia="黑体" w:cs="黑体"/>
          <w:b/>
          <w:bCs/>
          <w:i w:val="0"/>
          <w:iCs w:val="0"/>
          <w:caps w:val="0"/>
          <w:color w:val="000000"/>
          <w:spacing w:val="0"/>
          <w:sz w:val="32"/>
          <w:szCs w:val="32"/>
          <w:shd w:val="clear" w:fill="FFFFFF"/>
        </w:rPr>
        <w:t>五、存在的主要问题及改进情况</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12" w:firstLineChars="200"/>
        <w:jc w:val="both"/>
        <w:textAlignment w:val="auto"/>
        <w:rPr>
          <w:rFonts w:hint="default" w:ascii="微软雅黑" w:hAnsi="微软雅黑" w:eastAsia="微软雅黑" w:cs="微软雅黑"/>
          <w:i w:val="0"/>
          <w:iCs w:val="0"/>
          <w:caps w:val="0"/>
          <w:color w:val="000000"/>
          <w:spacing w:val="0"/>
          <w:sz w:val="24"/>
          <w:szCs w:val="24"/>
          <w:shd w:val="clear" w:fill="FFFFFF"/>
          <w:lang w:val="en-US" w:eastAsia="zh-CN"/>
        </w:rPr>
      </w:pPr>
      <w:r>
        <w:rPr>
          <w:rFonts w:hint="eastAsia" w:ascii="微软雅黑" w:hAnsi="微软雅黑" w:eastAsia="微软雅黑" w:cs="微软雅黑"/>
          <w:i w:val="0"/>
          <w:iCs w:val="0"/>
          <w:caps w:val="0"/>
          <w:color w:val="000000"/>
          <w:spacing w:val="0"/>
          <w:sz w:val="24"/>
          <w:szCs w:val="24"/>
          <w:shd w:val="clear" w:fill="FFFFFF"/>
          <w:lang w:val="en-US" w:eastAsia="zh-CN"/>
        </w:rPr>
        <w:t>存在问题：</w:t>
      </w:r>
      <w:r>
        <w:rPr>
          <w:rFonts w:hint="eastAsia" w:ascii="微软雅黑" w:hAnsi="微软雅黑" w:eastAsia="微软雅黑" w:cs="微软雅黑"/>
          <w:i w:val="0"/>
          <w:iCs w:val="0"/>
          <w:caps w:val="0"/>
          <w:color w:val="000000"/>
          <w:spacing w:val="0"/>
          <w:sz w:val="24"/>
          <w:szCs w:val="24"/>
          <w:shd w:val="clear" w:fill="FFFFFF"/>
        </w:rPr>
        <w:t>一是</w:t>
      </w:r>
      <w:r>
        <w:rPr>
          <w:rFonts w:hint="eastAsia" w:ascii="微软雅黑" w:hAnsi="微软雅黑" w:eastAsia="微软雅黑" w:cs="微软雅黑"/>
          <w:i w:val="0"/>
          <w:iCs w:val="0"/>
          <w:caps w:val="0"/>
          <w:color w:val="000000"/>
          <w:spacing w:val="0"/>
          <w:sz w:val="24"/>
          <w:szCs w:val="24"/>
          <w:shd w:val="clear" w:fill="FFFFFF"/>
          <w:lang w:eastAsia="zh-CN"/>
        </w:rPr>
        <w:t>对主动公开的信息内容的理解和把握不够，对各项政策的理解</w:t>
      </w:r>
      <w:r>
        <w:rPr>
          <w:rFonts w:hint="eastAsia" w:ascii="微软雅黑" w:hAnsi="微软雅黑" w:eastAsia="微软雅黑" w:cs="微软雅黑"/>
          <w:i w:val="0"/>
          <w:iCs w:val="0"/>
          <w:caps w:val="0"/>
          <w:color w:val="000000"/>
          <w:spacing w:val="0"/>
          <w:sz w:val="24"/>
          <w:szCs w:val="24"/>
          <w:shd w:val="clear" w:fill="FFFFFF"/>
          <w:lang w:val="en-US" w:eastAsia="zh-CN"/>
        </w:rPr>
        <w:t>不能</w:t>
      </w:r>
      <w:r>
        <w:rPr>
          <w:rFonts w:hint="eastAsia" w:ascii="微软雅黑" w:hAnsi="微软雅黑" w:eastAsia="微软雅黑" w:cs="微软雅黑"/>
          <w:i w:val="0"/>
          <w:iCs w:val="0"/>
          <w:caps w:val="0"/>
          <w:color w:val="000000"/>
          <w:spacing w:val="0"/>
          <w:sz w:val="24"/>
          <w:szCs w:val="24"/>
          <w:shd w:val="clear" w:fill="FFFFFF"/>
          <w:lang w:eastAsia="zh-CN"/>
        </w:rPr>
        <w:t>灵活运用，发布的信息质量不高。</w:t>
      </w:r>
      <w:r>
        <w:rPr>
          <w:rFonts w:hint="eastAsia" w:ascii="微软雅黑" w:hAnsi="微软雅黑" w:eastAsia="微软雅黑" w:cs="微软雅黑"/>
          <w:i w:val="0"/>
          <w:iCs w:val="0"/>
          <w:caps w:val="0"/>
          <w:color w:val="000000"/>
          <w:spacing w:val="0"/>
          <w:sz w:val="24"/>
          <w:szCs w:val="24"/>
          <w:shd w:val="clear" w:fill="FFFFFF"/>
          <w:lang w:val="en-US" w:eastAsia="zh-CN"/>
        </w:rPr>
        <w:t>二是</w:t>
      </w:r>
      <w:r>
        <w:rPr>
          <w:rFonts w:hint="eastAsia" w:ascii="微软雅黑" w:hAnsi="微软雅黑" w:eastAsia="微软雅黑" w:cs="微软雅黑"/>
          <w:i w:val="0"/>
          <w:iCs w:val="0"/>
          <w:caps w:val="0"/>
          <w:color w:val="000000"/>
          <w:spacing w:val="0"/>
          <w:sz w:val="24"/>
          <w:szCs w:val="24"/>
          <w:shd w:val="clear" w:fill="FFFFFF"/>
        </w:rPr>
        <w:t>政策文件解读</w:t>
      </w:r>
      <w:r>
        <w:rPr>
          <w:rFonts w:hint="eastAsia" w:ascii="微软雅黑" w:hAnsi="微软雅黑" w:eastAsia="微软雅黑" w:cs="微软雅黑"/>
          <w:i w:val="0"/>
          <w:iCs w:val="0"/>
          <w:caps w:val="0"/>
          <w:color w:val="000000"/>
          <w:spacing w:val="0"/>
          <w:sz w:val="24"/>
          <w:szCs w:val="24"/>
          <w:shd w:val="clear" w:fill="FFFFFF"/>
          <w:lang w:val="en-US" w:eastAsia="zh-CN"/>
        </w:rPr>
        <w:t>回应内容雷同、质量不高。</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12" w:firstLineChars="200"/>
        <w:jc w:val="both"/>
        <w:textAlignment w:val="auto"/>
        <w:rPr>
          <w:rFonts w:hint="default" w:eastAsia="微软雅黑" w:cs="微软雅黑" w:asciiTheme="majorAscii" w:hAnsiTheme="majorAscii"/>
          <w:i w:val="0"/>
          <w:iCs w:val="0"/>
          <w:caps w:val="0"/>
          <w:color w:val="000000"/>
          <w:spacing w:val="0"/>
          <w:sz w:val="24"/>
          <w:szCs w:val="24"/>
          <w:shd w:val="clear" w:fill="FFFFFF"/>
          <w:lang w:val="en-US" w:eastAsia="zh-CN"/>
        </w:rPr>
      </w:pPr>
      <w:r>
        <w:rPr>
          <w:rFonts w:hint="default" w:eastAsia="微软雅黑" w:cs="微软雅黑" w:asciiTheme="majorAscii" w:hAnsiTheme="majorAscii"/>
          <w:i w:val="0"/>
          <w:iCs w:val="0"/>
          <w:caps w:val="0"/>
          <w:color w:val="000000"/>
          <w:spacing w:val="0"/>
          <w:sz w:val="24"/>
          <w:szCs w:val="24"/>
          <w:shd w:val="clear" w:fill="FFFFFF"/>
          <w:lang w:val="en-US" w:eastAsia="zh-CN"/>
        </w:rPr>
        <w:t>下一步商河县人民政府办公室将加强政府信息公开管理水平，</w:t>
      </w:r>
      <w:r>
        <w:rPr>
          <w:rFonts w:hint="eastAsia" w:eastAsia="微软雅黑" w:cs="微软雅黑" w:asciiTheme="majorAscii" w:hAnsiTheme="majorAscii"/>
          <w:i w:val="0"/>
          <w:iCs w:val="0"/>
          <w:caps w:val="0"/>
          <w:color w:val="000000"/>
          <w:spacing w:val="0"/>
          <w:sz w:val="24"/>
          <w:szCs w:val="24"/>
          <w:shd w:val="clear" w:fill="FFFFFF"/>
          <w:lang w:val="en-US" w:eastAsia="zh-CN"/>
        </w:rPr>
        <w:t>加强组织领导，健全工作机制，抓好日常运行。</w:t>
      </w:r>
      <w:r>
        <w:rPr>
          <w:rFonts w:hint="default" w:eastAsia="微软雅黑" w:cs="微软雅黑" w:asciiTheme="majorAscii" w:hAnsiTheme="majorAscii"/>
          <w:i w:val="0"/>
          <w:iCs w:val="0"/>
          <w:caps w:val="0"/>
          <w:color w:val="000000"/>
          <w:spacing w:val="0"/>
          <w:sz w:val="24"/>
          <w:szCs w:val="24"/>
          <w:shd w:val="clear" w:fill="FFFFFF"/>
          <w:lang w:val="en-US" w:eastAsia="zh-CN"/>
        </w:rPr>
        <w:t>加大解读</w:t>
      </w:r>
      <w:r>
        <w:rPr>
          <w:rFonts w:hint="eastAsia" w:eastAsia="微软雅黑" w:cs="微软雅黑" w:asciiTheme="majorAscii" w:hAnsiTheme="majorAscii"/>
          <w:i w:val="0"/>
          <w:iCs w:val="0"/>
          <w:caps w:val="0"/>
          <w:color w:val="000000"/>
          <w:spacing w:val="0"/>
          <w:sz w:val="24"/>
          <w:szCs w:val="24"/>
          <w:shd w:val="clear" w:fill="FFFFFF"/>
          <w:lang w:val="en-US" w:eastAsia="zh-CN"/>
        </w:rPr>
        <w:t>回应的</w:t>
      </w:r>
      <w:r>
        <w:rPr>
          <w:rFonts w:hint="default" w:eastAsia="微软雅黑" w:cs="微软雅黑" w:asciiTheme="majorAscii" w:hAnsiTheme="majorAscii"/>
          <w:i w:val="0"/>
          <w:iCs w:val="0"/>
          <w:caps w:val="0"/>
          <w:color w:val="000000"/>
          <w:spacing w:val="0"/>
          <w:sz w:val="24"/>
          <w:szCs w:val="24"/>
          <w:shd w:val="clear" w:fill="FFFFFF"/>
          <w:lang w:val="en-US" w:eastAsia="zh-CN"/>
        </w:rPr>
        <w:t>力度</w:t>
      </w:r>
      <w:r>
        <w:rPr>
          <w:rFonts w:hint="eastAsia" w:eastAsia="微软雅黑" w:cs="微软雅黑" w:asciiTheme="majorAscii" w:hAnsiTheme="majorAscii"/>
          <w:i w:val="0"/>
          <w:iCs w:val="0"/>
          <w:caps w:val="0"/>
          <w:color w:val="000000"/>
          <w:spacing w:val="0"/>
          <w:sz w:val="24"/>
          <w:szCs w:val="24"/>
          <w:shd w:val="clear" w:fill="FFFFFF"/>
          <w:lang w:val="en-US" w:eastAsia="zh-CN"/>
        </w:rPr>
        <w:t>，开展多角度、多形式的解读，提高解读质量</w:t>
      </w:r>
      <w:r>
        <w:rPr>
          <w:rFonts w:hint="default" w:eastAsia="微软雅黑" w:cs="微软雅黑" w:asciiTheme="majorAscii" w:hAnsiTheme="majorAscii"/>
          <w:i w:val="0"/>
          <w:iCs w:val="0"/>
          <w:caps w:val="0"/>
          <w:color w:val="000000"/>
          <w:spacing w:val="0"/>
          <w:sz w:val="24"/>
          <w:szCs w:val="24"/>
          <w:shd w:val="clear" w:fill="FFFFFF"/>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512" w:firstLineChars="200"/>
        <w:jc w:val="both"/>
        <w:textAlignment w:val="auto"/>
        <w:rPr>
          <w:rFonts w:hint="default" w:eastAsia="微软雅黑" w:cs="微软雅黑" w:asciiTheme="majorAscii" w:hAnsiTheme="majorAscii"/>
          <w:i w:val="0"/>
          <w:iCs w:val="0"/>
          <w:caps w:val="0"/>
          <w:color w:val="000000"/>
          <w:spacing w:val="0"/>
          <w:sz w:val="24"/>
          <w:szCs w:val="24"/>
          <w:shd w:val="clear" w:fill="FFFFFF"/>
          <w:lang w:val="en-US" w:eastAsia="zh-CN"/>
        </w:rPr>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rPr>
          <w:rFonts w:hint="eastAsia" w:ascii="黑体" w:hAnsi="黑体" w:eastAsia="黑体" w:cs="黑体"/>
          <w:b/>
          <w:bCs/>
          <w:sz w:val="32"/>
          <w:szCs w:val="32"/>
        </w:rPr>
      </w:pPr>
      <w:r>
        <w:rPr>
          <w:rFonts w:hint="eastAsia" w:ascii="黑体" w:hAnsi="黑体" w:eastAsia="黑体" w:cs="黑体"/>
          <w:b/>
          <w:bCs/>
          <w:i w:val="0"/>
          <w:iCs w:val="0"/>
          <w:caps w:val="0"/>
          <w:color w:val="000000"/>
          <w:spacing w:val="0"/>
          <w:sz w:val="32"/>
          <w:szCs w:val="32"/>
          <w:shd w:val="clear" w:fill="FFFFFF"/>
        </w:rPr>
        <w:t>六、其他需要报告的事项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ascii="微软雅黑" w:hAnsi="微软雅黑" w:eastAsia="微软雅黑" w:cs="微软雅黑"/>
          <w:spacing w:val="0"/>
          <w:sz w:val="24"/>
          <w:szCs w:val="24"/>
          <w:shd w:val="clear" w:fill="FFFFFF"/>
        </w:rPr>
        <w:t>（一）依据《政府信息公开信息处理费管理办法》收取信息处理费的情况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spacing w:val="0"/>
          <w:sz w:val="24"/>
          <w:szCs w:val="24"/>
          <w:shd w:val="clear" w:fill="FFFFFF"/>
        </w:rPr>
        <w:t>本年度依申请公开政府信息未收取任何费用。</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spacing w:val="0"/>
          <w:sz w:val="24"/>
          <w:szCs w:val="24"/>
          <w:shd w:val="clear" w:fill="FFFFFF"/>
        </w:rPr>
        <w:t>（二）落实上级年度政务公开工作要点情况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spacing w:val="0"/>
          <w:sz w:val="24"/>
          <w:szCs w:val="24"/>
          <w:shd w:val="clear" w:fill="FFFFFF"/>
        </w:rPr>
        <w:t>根据国家、省、市政务公开工作要点要求，印发《2023年商河县政务公开工作要点》，根据任务分工将全年的政务公开工作落实到位。一是及时公开政府信息公开的基础性信息。公开政策文件、重大会议信息、财政信息、发展信息等基础性信息。二是聚焦保障民生领域信息公开。做好群众关心的稳岗就业、义务教育、社会救助和养老服务等重点领域的信息公开工作。三是邀请社会公众代表列席政府相关会议。开展行政决策事项意见征集并将公众意见建议采纳情况及时予以公开。四是提升解读回应质量，创新解读形式。采用至少5种形式以上解读形式，多角度、多形式，保证政策解读效果。五是提升政府信息依申请公开规范化水平，规范政府信息依申请公开办理流程。提高准确性和针对性，依法依规及时准确予以答复反馈。坚持举一反三，以点带面，提升依申请公开答复质量。</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spacing w:val="0"/>
          <w:sz w:val="24"/>
          <w:szCs w:val="24"/>
          <w:shd w:val="clear" w:fill="FFFFFF"/>
        </w:rPr>
        <w:t>（三）人大代表建议、政协提案办理结果公开情况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spacing w:val="0"/>
          <w:sz w:val="24"/>
          <w:szCs w:val="24"/>
          <w:shd w:val="clear" w:fill="FFFFFF"/>
        </w:rPr>
        <w:t> 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spacing w:val="0"/>
          <w:sz w:val="24"/>
          <w:szCs w:val="24"/>
          <w:shd w:val="clear" w:fill="FFFFFF"/>
        </w:rPr>
        <w:t>（四）政务公开工作创新情况</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firstLine="510"/>
        <w:jc w:val="both"/>
      </w:pPr>
      <w:r>
        <w:rPr>
          <w:rFonts w:hint="eastAsia" w:ascii="微软雅黑" w:hAnsi="微软雅黑" w:eastAsia="微软雅黑" w:cs="微软雅黑"/>
          <w:spacing w:val="0"/>
          <w:sz w:val="24"/>
          <w:szCs w:val="24"/>
          <w:shd w:val="clear" w:fill="FFFFFF"/>
        </w:rPr>
        <w:t>积极开展多渠道的解读回应，依托政府门户网站、“商河县人民政府办公室”微信公众号、商河融媒APP等传播媒介，对政策文件解读、常务会议解读开展常态多元化解读。</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spacing w:val="0"/>
          <w:sz w:val="24"/>
          <w:szCs w:val="24"/>
          <w:shd w:val="clear" w:fill="FFFFFF"/>
        </w:rPr>
        <w:t>（五）本单位报告有关数据统计说明事项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spacing w:val="0"/>
          <w:sz w:val="24"/>
          <w:szCs w:val="24"/>
          <w:shd w:val="clear" w:fill="FFFFFF"/>
        </w:rPr>
        <w:t>本年度报告中所列数据统计期限从2023年1月1日到</w:t>
      </w:r>
      <w:r>
        <w:rPr>
          <w:rFonts w:hint="eastAsia" w:ascii="微软雅黑" w:hAnsi="微软雅黑" w:eastAsia="微软雅黑" w:cs="微软雅黑"/>
          <w:spacing w:val="0"/>
          <w:sz w:val="24"/>
          <w:szCs w:val="24"/>
          <w:shd w:val="clear" w:fill="FFFFFF"/>
          <w:lang w:val="en-US" w:eastAsia="zh-CN"/>
        </w:rPr>
        <w:t>2023年</w:t>
      </w:r>
      <w:bookmarkStart w:id="10" w:name="_GoBack"/>
      <w:bookmarkEnd w:id="10"/>
      <w:r>
        <w:rPr>
          <w:rFonts w:hint="eastAsia" w:ascii="微软雅黑" w:hAnsi="微软雅黑" w:eastAsia="微软雅黑" w:cs="微软雅黑"/>
          <w:spacing w:val="0"/>
          <w:sz w:val="24"/>
          <w:szCs w:val="24"/>
          <w:shd w:val="clear" w:fill="FFFFFF"/>
        </w:rPr>
        <w:t>12月31日止。</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spacing w:val="0"/>
          <w:sz w:val="24"/>
          <w:szCs w:val="24"/>
          <w:shd w:val="clear" w:fill="FFFFFF"/>
        </w:rPr>
        <w:t>（六）单位认为需要报告的其他事项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Fonts w:hint="eastAsia" w:ascii="微软雅黑" w:hAnsi="微软雅黑" w:eastAsia="微软雅黑" w:cs="微软雅黑"/>
          <w:spacing w:val="0"/>
          <w:sz w:val="24"/>
          <w:szCs w:val="24"/>
          <w:shd w:val="clear" w:fill="FFFFFF"/>
        </w:rPr>
        <w:t>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420"/>
        <w:jc w:val="both"/>
      </w:pPr>
      <w:r>
        <w:rPr>
          <w:rStyle w:val="7"/>
          <w:rFonts w:hint="eastAsia" w:ascii="微软雅黑" w:hAnsi="微软雅黑" w:eastAsia="微软雅黑" w:cs="微软雅黑"/>
          <w:spacing w:val="0"/>
          <w:sz w:val="24"/>
          <w:szCs w:val="24"/>
          <w:shd w:val="clear" w:fill="FFFFFF"/>
        </w:rPr>
        <w:t>（七）其他有关文件专门要求通过政府信息公开工作年度报告予以报告的事项</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10"/>
      </w:pPr>
      <w:r>
        <w:rPr>
          <w:rFonts w:hint="eastAsia" w:ascii="微软雅黑" w:hAnsi="微软雅黑" w:eastAsia="微软雅黑" w:cs="微软雅黑"/>
          <w:spacing w:val="0"/>
          <w:sz w:val="24"/>
          <w:szCs w:val="24"/>
          <w:shd w:val="clear" w:fill="FFFFFF"/>
        </w:rPr>
        <w:t>无</w:t>
      </w: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10"/>
      </w:pPr>
    </w:p>
    <w:p>
      <w:pPr>
        <w:pStyle w:val="4"/>
        <w:keepNext w:val="0"/>
        <w:keepLines w:val="0"/>
        <w:widowControl/>
        <w:suppressLineNumbers w:val="0"/>
        <w:spacing w:before="75" w:beforeAutospacing="0" w:after="75" w:afterAutospacing="0" w:line="315" w:lineRule="atLeast"/>
        <w:ind w:left="0" w:right="0"/>
      </w:pPr>
    </w:p>
    <w:p>
      <w:pPr>
        <w:pStyle w:val="4"/>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512" w:firstLineChars="200"/>
        <w:rPr>
          <w:rFonts w:hint="eastAsia" w:ascii="微软雅黑" w:hAnsi="微软雅黑" w:eastAsia="微软雅黑" w:cs="微软雅黑"/>
          <w:sz w:val="24"/>
          <w:szCs w:val="24"/>
        </w:rPr>
      </w:pPr>
    </w:p>
    <w:sectPr>
      <w:footerReference r:id="rId3" w:type="default"/>
      <w:footerReference r:id="rId4" w:type="even"/>
      <w:pgSz w:w="11906" w:h="16838"/>
      <w:pgMar w:top="1418" w:right="1134" w:bottom="1418" w:left="1361" w:header="851" w:footer="992" w:gutter="0"/>
      <w:cols w:space="425" w:num="1"/>
      <w:docGrid w:type="linesAndChars" w:linePitch="636" w:charSpace="329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文星标宋">
    <w:panose1 w:val="0201060900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Fonts w:hint="eastAsia"/>
        <w:sz w:val="24"/>
        <w:szCs w:val="24"/>
      </w:rPr>
    </w:pPr>
    <w:r>
      <w:rPr>
        <w:rStyle w:val="8"/>
        <w:rFonts w:hint="eastAsia"/>
        <w:sz w:val="24"/>
        <w:szCs w:val="24"/>
      </w:rPr>
      <w:t>—</w:t>
    </w:r>
    <w:r>
      <w:rPr>
        <w:rStyle w:val="8"/>
        <w:sz w:val="24"/>
        <w:szCs w:val="24"/>
      </w:rPr>
      <w:fldChar w:fldCharType="begin"/>
    </w:r>
    <w:r>
      <w:rPr>
        <w:rStyle w:val="8"/>
        <w:sz w:val="24"/>
        <w:szCs w:val="24"/>
      </w:rPr>
      <w:instrText xml:space="preserve">PAGE  </w:instrText>
    </w:r>
    <w:r>
      <w:rPr>
        <w:rStyle w:val="8"/>
        <w:sz w:val="24"/>
        <w:szCs w:val="24"/>
      </w:rPr>
      <w:fldChar w:fldCharType="separate"/>
    </w:r>
    <w:r>
      <w:rPr>
        <w:rStyle w:val="8"/>
        <w:sz w:val="24"/>
        <w:szCs w:val="24"/>
      </w:rPr>
      <w:t>1</w:t>
    </w:r>
    <w:r>
      <w:rPr>
        <w:rStyle w:val="8"/>
        <w:sz w:val="24"/>
        <w:szCs w:val="24"/>
      </w:rPr>
      <w:fldChar w:fldCharType="end"/>
    </w:r>
    <w:r>
      <w:rPr>
        <w:rStyle w:val="8"/>
        <w:rFonts w:hint="eastAsia"/>
        <w:sz w:val="24"/>
        <w:szCs w:val="24"/>
      </w:rPr>
      <w:t>—</w:t>
    </w:r>
  </w:p>
  <w:p>
    <w:pPr>
      <w:pStyle w:val="2"/>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outside" w:y="1"/>
      <w:rPr>
        <w:rStyle w:val="8"/>
      </w:rPr>
    </w:pPr>
    <w:r>
      <w:rPr>
        <w:rStyle w:val="8"/>
      </w:rPr>
      <w:fldChar w:fldCharType="begin"/>
    </w:r>
    <w:r>
      <w:rPr>
        <w:rStyle w:val="8"/>
      </w:rPr>
      <w:instrText xml:space="preserve">PAGE  </w:instrText>
    </w:r>
    <w:r>
      <w:rPr>
        <w:rStyle w:val="8"/>
      </w:rPr>
      <w:fldChar w:fldCharType="end"/>
    </w:r>
  </w:p>
  <w:p>
    <w:pPr>
      <w:pStyle w:val="2"/>
      <w:ind w:right="360" w:firstLine="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25D66A"/>
    <w:multiLevelType w:val="singleLevel"/>
    <w:tmpl w:val="3625D66A"/>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68"/>
  <w:drawingGridVerticalSpacing w:val="31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YzM2NTY4MmQ4YzM0MGM0ZWMwNmFkZGRmYmRkOTc3M2UifQ=="/>
  </w:docVars>
  <w:rsids>
    <w:rsidRoot w:val="00172A27"/>
    <w:rsid w:val="00006E4D"/>
    <w:rsid w:val="00010E6F"/>
    <w:rsid w:val="000118AE"/>
    <w:rsid w:val="00023EE8"/>
    <w:rsid w:val="0002526E"/>
    <w:rsid w:val="0003445A"/>
    <w:rsid w:val="00061546"/>
    <w:rsid w:val="000720C8"/>
    <w:rsid w:val="000809CF"/>
    <w:rsid w:val="000A59BE"/>
    <w:rsid w:val="000D6ABD"/>
    <w:rsid w:val="00102A35"/>
    <w:rsid w:val="00143CF4"/>
    <w:rsid w:val="00144048"/>
    <w:rsid w:val="001B4C7C"/>
    <w:rsid w:val="00225111"/>
    <w:rsid w:val="002444D5"/>
    <w:rsid w:val="00255E56"/>
    <w:rsid w:val="00280428"/>
    <w:rsid w:val="002907A6"/>
    <w:rsid w:val="002C3EC9"/>
    <w:rsid w:val="002C5933"/>
    <w:rsid w:val="002F3BDE"/>
    <w:rsid w:val="00313B31"/>
    <w:rsid w:val="0035129C"/>
    <w:rsid w:val="003B5252"/>
    <w:rsid w:val="003B57B0"/>
    <w:rsid w:val="003D1AB6"/>
    <w:rsid w:val="003F26BB"/>
    <w:rsid w:val="00416A71"/>
    <w:rsid w:val="00433E2F"/>
    <w:rsid w:val="00444510"/>
    <w:rsid w:val="00451478"/>
    <w:rsid w:val="00462DFF"/>
    <w:rsid w:val="004666A0"/>
    <w:rsid w:val="004853B2"/>
    <w:rsid w:val="00496327"/>
    <w:rsid w:val="004B2D22"/>
    <w:rsid w:val="004C01C7"/>
    <w:rsid w:val="00510C8A"/>
    <w:rsid w:val="005221B6"/>
    <w:rsid w:val="0053208F"/>
    <w:rsid w:val="0053363A"/>
    <w:rsid w:val="005528F8"/>
    <w:rsid w:val="005734C9"/>
    <w:rsid w:val="00587F19"/>
    <w:rsid w:val="00595E86"/>
    <w:rsid w:val="005F6F32"/>
    <w:rsid w:val="006020E6"/>
    <w:rsid w:val="006055DF"/>
    <w:rsid w:val="00613945"/>
    <w:rsid w:val="00625E05"/>
    <w:rsid w:val="00630393"/>
    <w:rsid w:val="00661BD7"/>
    <w:rsid w:val="006633FF"/>
    <w:rsid w:val="00682D22"/>
    <w:rsid w:val="006A1616"/>
    <w:rsid w:val="006C2BED"/>
    <w:rsid w:val="006E215B"/>
    <w:rsid w:val="006E7577"/>
    <w:rsid w:val="006F4AA6"/>
    <w:rsid w:val="007A196D"/>
    <w:rsid w:val="007C048B"/>
    <w:rsid w:val="007D0F1C"/>
    <w:rsid w:val="00850030"/>
    <w:rsid w:val="0086030D"/>
    <w:rsid w:val="00877431"/>
    <w:rsid w:val="008A74CE"/>
    <w:rsid w:val="00937290"/>
    <w:rsid w:val="009942ED"/>
    <w:rsid w:val="009A69CD"/>
    <w:rsid w:val="009D3D3C"/>
    <w:rsid w:val="009E0C24"/>
    <w:rsid w:val="00A33BEA"/>
    <w:rsid w:val="00A47EB9"/>
    <w:rsid w:val="00A56631"/>
    <w:rsid w:val="00A717EA"/>
    <w:rsid w:val="00A94989"/>
    <w:rsid w:val="00AA0F89"/>
    <w:rsid w:val="00AB1078"/>
    <w:rsid w:val="00AD6B34"/>
    <w:rsid w:val="00B3177D"/>
    <w:rsid w:val="00B31D89"/>
    <w:rsid w:val="00B804E8"/>
    <w:rsid w:val="00BB6CE6"/>
    <w:rsid w:val="00C0031B"/>
    <w:rsid w:val="00C341AB"/>
    <w:rsid w:val="00C55698"/>
    <w:rsid w:val="00C668A5"/>
    <w:rsid w:val="00C73856"/>
    <w:rsid w:val="00CA77F7"/>
    <w:rsid w:val="00CB7876"/>
    <w:rsid w:val="00CF12D9"/>
    <w:rsid w:val="00D06423"/>
    <w:rsid w:val="00D46F3B"/>
    <w:rsid w:val="00D979AD"/>
    <w:rsid w:val="00DA09BF"/>
    <w:rsid w:val="00E2730D"/>
    <w:rsid w:val="00E3086C"/>
    <w:rsid w:val="00E31C92"/>
    <w:rsid w:val="00EB01CC"/>
    <w:rsid w:val="00F07C8B"/>
    <w:rsid w:val="00F21A75"/>
    <w:rsid w:val="00F82D18"/>
    <w:rsid w:val="00F85CDC"/>
    <w:rsid w:val="00FA1DB2"/>
    <w:rsid w:val="00FB4E91"/>
    <w:rsid w:val="00FE531C"/>
    <w:rsid w:val="00FF4E3F"/>
    <w:rsid w:val="00FF5073"/>
    <w:rsid w:val="00FF5A0F"/>
    <w:rsid w:val="011253ED"/>
    <w:rsid w:val="01A824B0"/>
    <w:rsid w:val="03914CEF"/>
    <w:rsid w:val="06D82C35"/>
    <w:rsid w:val="0EEC2584"/>
    <w:rsid w:val="115D4403"/>
    <w:rsid w:val="151F0314"/>
    <w:rsid w:val="15595889"/>
    <w:rsid w:val="159816E6"/>
    <w:rsid w:val="174A42C1"/>
    <w:rsid w:val="1A116732"/>
    <w:rsid w:val="1A646862"/>
    <w:rsid w:val="1AF26D42"/>
    <w:rsid w:val="1B080A85"/>
    <w:rsid w:val="1BFC4701"/>
    <w:rsid w:val="1C837A33"/>
    <w:rsid w:val="1C9D7E86"/>
    <w:rsid w:val="200C3EFB"/>
    <w:rsid w:val="21BF7770"/>
    <w:rsid w:val="226A4251"/>
    <w:rsid w:val="25DC5E46"/>
    <w:rsid w:val="2D8F379E"/>
    <w:rsid w:val="2DB66CAA"/>
    <w:rsid w:val="2DC72F38"/>
    <w:rsid w:val="2DE53D06"/>
    <w:rsid w:val="2F982CAF"/>
    <w:rsid w:val="306F78B6"/>
    <w:rsid w:val="3349717B"/>
    <w:rsid w:val="3D687B67"/>
    <w:rsid w:val="3DD75419"/>
    <w:rsid w:val="3E202B5A"/>
    <w:rsid w:val="3E864749"/>
    <w:rsid w:val="456D6663"/>
    <w:rsid w:val="4C4D7BFD"/>
    <w:rsid w:val="4FBF3F5F"/>
    <w:rsid w:val="4FD55885"/>
    <w:rsid w:val="57D81A72"/>
    <w:rsid w:val="593E4146"/>
    <w:rsid w:val="59527BF2"/>
    <w:rsid w:val="596516D3"/>
    <w:rsid w:val="5A3D7F5A"/>
    <w:rsid w:val="5A875679"/>
    <w:rsid w:val="5BE34B31"/>
    <w:rsid w:val="5CCF6322"/>
    <w:rsid w:val="5DF748C4"/>
    <w:rsid w:val="621023F8"/>
    <w:rsid w:val="63867BBA"/>
    <w:rsid w:val="64E16127"/>
    <w:rsid w:val="64E262CE"/>
    <w:rsid w:val="66CB4B3F"/>
    <w:rsid w:val="6F6D2C38"/>
    <w:rsid w:val="72541E8D"/>
    <w:rsid w:val="72E15C57"/>
    <w:rsid w:val="73125FD0"/>
    <w:rsid w:val="73CF2A78"/>
    <w:rsid w:val="73F03699"/>
    <w:rsid w:val="77925931"/>
    <w:rsid w:val="77E65C7D"/>
    <w:rsid w:val="7A8A28F0"/>
    <w:rsid w:val="7B007056"/>
    <w:rsid w:val="7D6531A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仿宋_GB2312" w:cs="Times New Roman"/>
      <w:kern w:val="2"/>
      <w:sz w:val="32"/>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szCs w:val="18"/>
    </w:rPr>
  </w:style>
  <w:style w:type="paragraph" w:styleId="3">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7">
    <w:name w:val="Strong"/>
    <w:basedOn w:val="6"/>
    <w:autoRedefine/>
    <w:qFormat/>
    <w:uiPriority w:val="0"/>
    <w:rPr>
      <w:b/>
    </w:rPr>
  </w:style>
  <w:style w:type="character" w:styleId="8">
    <w:name w:val="page number"/>
    <w:basedOn w:val="6"/>
    <w:autoRedefine/>
    <w:qFormat/>
    <w:uiPriority w:val="0"/>
  </w:style>
  <w:style w:type="character" w:styleId="9">
    <w:name w:val="Hyperlink"/>
    <w:basedOn w:val="6"/>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A4模板 .dot</Template>
  <Pages>11</Pages>
  <Words>3056</Words>
  <Characters>3195</Characters>
  <Lines>1</Lines>
  <Paragraphs>1</Paragraphs>
  <TotalTime>25</TotalTime>
  <ScaleCrop>false</ScaleCrop>
  <LinksUpToDate>false</LinksUpToDate>
  <CharactersWithSpaces>3201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2024-01-11T07:31:00Z</dcterms:created>
  <dc:creator>。。</dc:creator>
  <cp:lastModifiedBy>。。</cp:lastModifiedBy>
  <dcterms:modified xsi:type="dcterms:W3CDTF">2024-01-29T09:34:19Z</dcterms:modified>
  <dc:title>关于推进科教文卫系统事业单位改革</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9A6E34B349D24E4ABA6BAA849AFF876F_11</vt:lpwstr>
  </property>
  <property fmtid="{D5CDD505-2E9C-101B-9397-08002B2CF9AE}" pid="3" name="KSOProductBuildVer">
    <vt:lpwstr>2052-12.1.0.16120</vt:lpwstr>
  </property>
</Properties>
</file>