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sz w:val="20"/>
          <w:lang w:eastAsia="zh-CN"/>
        </w:rPr>
        <w:sectPr>
          <w:pgSz w:w="11910" w:h="16840"/>
          <w:pgMar w:top="720" w:right="720" w:bottom="720" w:left="720" w:header="720" w:footer="720" w:gutter="0"/>
          <w:cols w:space="720" w:num="1"/>
        </w:sectPr>
      </w:pPr>
      <w:bookmarkStart w:id="39" w:name="_GoBack"/>
      <w:r>
        <w:rPr>
          <w:rFonts w:hint="eastAsia" w:ascii="Times New Roman" w:hAnsi="Times New Roman" w:eastAsia="宋体"/>
          <w:sz w:val="20"/>
          <w:lang w:eastAsia="zh-CN"/>
        </w:rPr>
        <w:drawing>
          <wp:inline distT="0" distB="0" distL="114300" distR="114300">
            <wp:extent cx="6608445" cy="9760585"/>
            <wp:effectExtent l="0" t="0" r="1905" b="12065"/>
            <wp:docPr id="1" name="图片 1" descr="d1cc3c459b1f18182e9b0bf3882a8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1cc3c459b1f18182e9b0bf3882a8c2"/>
                    <pic:cNvPicPr>
                      <a:picLocks noChangeAspect="1"/>
                    </pic:cNvPicPr>
                  </pic:nvPicPr>
                  <pic:blipFill>
                    <a:blip r:embed="rId8"/>
                    <a:stretch>
                      <a:fillRect/>
                    </a:stretch>
                  </pic:blipFill>
                  <pic:spPr>
                    <a:xfrm>
                      <a:off x="0" y="0"/>
                      <a:ext cx="6608445" cy="9760585"/>
                    </a:xfrm>
                    <a:prstGeom prst="rect">
                      <a:avLst/>
                    </a:prstGeom>
                  </pic:spPr>
                </pic:pic>
              </a:graphicData>
            </a:graphic>
          </wp:inline>
        </w:drawing>
      </w:r>
    </w:p>
    <w:p>
      <w:pPr>
        <w:pStyle w:val="5"/>
        <w:ind w:left="0"/>
        <w:rPr>
          <w:rFonts w:ascii="Times New Roman" w:hAnsi="Times New Roman" w:eastAsia="宋体"/>
          <w:sz w:val="20"/>
        </w:rPr>
      </w:pPr>
    </w:p>
    <w:p>
      <w:pPr>
        <w:pStyle w:val="2"/>
        <w:keepNext w:val="0"/>
        <w:keepLines w:val="0"/>
        <w:pageBreakBefore w:val="0"/>
        <w:widowControl w:val="0"/>
        <w:tabs>
          <w:tab w:val="left" w:pos="4712"/>
        </w:tabs>
        <w:kinsoku/>
        <w:wordWrap/>
        <w:overflowPunct/>
        <w:topLinePunct w:val="0"/>
        <w:autoSpaceDE w:val="0"/>
        <w:autoSpaceDN w:val="0"/>
        <w:bidi w:val="0"/>
        <w:adjustRightInd/>
        <w:snapToGrid/>
        <w:spacing w:line="360" w:lineRule="auto"/>
        <w:ind w:left="0"/>
        <w:jc w:val="center"/>
        <w:textAlignment w:val="auto"/>
        <w:outlineLvl w:val="0"/>
        <w:rPr>
          <w:rFonts w:hint="eastAsia" w:ascii="黑体" w:hAnsi="黑体" w:eastAsia="黑体" w:cs="黑体"/>
          <w:b w:val="0"/>
          <w:bCs w:val="0"/>
          <w:sz w:val="44"/>
          <w:szCs w:val="44"/>
        </w:rPr>
      </w:pPr>
      <w:bookmarkStart w:id="0" w:name="_Toc31052"/>
      <w:bookmarkStart w:id="1" w:name="_Toc18408"/>
      <w:r>
        <w:rPr>
          <w:rFonts w:hint="eastAsia" w:ascii="黑体" w:hAnsi="黑体" w:eastAsia="黑体" w:cs="黑体"/>
          <w:b w:val="0"/>
          <w:bCs w:val="0"/>
          <w:w w:val="95"/>
          <w:sz w:val="44"/>
          <w:szCs w:val="44"/>
        </w:rPr>
        <w:t>前</w:t>
      </w:r>
      <w:r>
        <w:rPr>
          <w:rFonts w:hint="eastAsia" w:ascii="黑体" w:hAnsi="黑体" w:eastAsia="黑体" w:cs="黑体"/>
          <w:b w:val="0"/>
          <w:bCs w:val="0"/>
          <w:w w:val="95"/>
          <w:sz w:val="44"/>
          <w:szCs w:val="44"/>
          <w:lang w:val="en-US" w:eastAsia="zh-CN"/>
        </w:rPr>
        <w:t xml:space="preserve"> </w:t>
      </w:r>
      <w:r>
        <w:rPr>
          <w:rFonts w:hint="eastAsia" w:ascii="黑体" w:hAnsi="黑体" w:eastAsia="黑体" w:cs="黑体"/>
          <w:b w:val="0"/>
          <w:bCs w:val="0"/>
          <w:w w:val="95"/>
          <w:sz w:val="44"/>
          <w:szCs w:val="44"/>
        </w:rPr>
        <w:t>言</w:t>
      </w:r>
      <w:bookmarkEnd w:id="0"/>
      <w:bookmarkEnd w:id="1"/>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1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重大决策社会稳定风险分析与评估，系指制定出台、审批审核或组织实施重大决策事项可能引发影响社会稳定的隐患和风险，在合法</w:t>
      </w:r>
      <w:r>
        <w:rPr>
          <w:rFonts w:hint="eastAsia" w:ascii="仿宋_GB2312" w:hAnsi="仿宋_GB2312" w:eastAsia="仿宋_GB2312" w:cs="仿宋_GB2312"/>
          <w:spacing w:val="-2"/>
          <w:sz w:val="32"/>
          <w:szCs w:val="32"/>
        </w:rPr>
        <w:t>性、合理性、可行性、可控性等方面开展调查、预测、分析和评估，</w:t>
      </w:r>
      <w:r>
        <w:rPr>
          <w:rFonts w:hint="eastAsia" w:ascii="仿宋_GB2312" w:hAnsi="仿宋_GB2312" w:eastAsia="仿宋_GB2312" w:cs="仿宋_GB2312"/>
          <w:spacing w:val="-9"/>
          <w:sz w:val="32"/>
          <w:szCs w:val="32"/>
        </w:rPr>
        <w:t>先期制定预防和化解风险方案，严格落实风险防范化解和应急处置措</w:t>
      </w:r>
      <w:r>
        <w:rPr>
          <w:rFonts w:hint="eastAsia" w:ascii="仿宋_GB2312" w:hAnsi="仿宋_GB2312" w:eastAsia="仿宋_GB2312" w:cs="仿宋_GB2312"/>
          <w:spacing w:val="-19"/>
          <w:sz w:val="32"/>
          <w:szCs w:val="32"/>
        </w:rPr>
        <w:t>施，为科学民主依法作出决策、推动重大决策事项实施提供坚实保障。</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16" w:firstLineChars="200"/>
        <w:jc w:val="both"/>
        <w:textAlignment w:val="auto"/>
        <w:rPr>
          <w:rFonts w:ascii="Times New Roman" w:hAnsi="Times New Roman" w:eastAsia="宋体"/>
        </w:rPr>
      </w:pPr>
      <w:r>
        <w:rPr>
          <w:rFonts w:hint="eastAsia" w:ascii="仿宋_GB2312" w:hAnsi="仿宋_GB2312" w:eastAsia="仿宋_GB2312" w:cs="仿宋_GB2312"/>
          <w:spacing w:val="-6"/>
          <w:sz w:val="32"/>
          <w:szCs w:val="32"/>
        </w:rPr>
        <w:t>根据《重大行政决策程序暂行条例》</w:t>
      </w:r>
      <w:r>
        <w:rPr>
          <w:rFonts w:hint="eastAsia" w:ascii="仿宋_GB2312" w:hAnsi="仿宋_GB2312" w:eastAsia="仿宋_GB2312" w:cs="仿宋_GB2312"/>
          <w:spacing w:val="-2"/>
          <w:sz w:val="32"/>
          <w:szCs w:val="32"/>
        </w:rPr>
        <w:t>（中华人民共和国国务院令</w:t>
      </w:r>
      <w:r>
        <w:rPr>
          <w:rFonts w:hint="eastAsia" w:ascii="仿宋_GB2312" w:hAnsi="仿宋_GB2312" w:eastAsia="仿宋_GB2312" w:cs="仿宋_GB2312"/>
          <w:spacing w:val="-37"/>
          <w:sz w:val="32"/>
          <w:szCs w:val="32"/>
        </w:rPr>
        <w:t>第</w:t>
      </w:r>
      <w:r>
        <w:rPr>
          <w:rFonts w:hint="eastAsia" w:ascii="仿宋_GB2312" w:hAnsi="仿宋_GB2312" w:eastAsia="仿宋_GB2312" w:cs="仿宋_GB2312"/>
          <w:spacing w:val="-2"/>
          <w:sz w:val="32"/>
          <w:szCs w:val="32"/>
        </w:rPr>
        <w:t>713号）</w:t>
      </w:r>
      <w:r>
        <w:rPr>
          <w:rFonts w:hint="eastAsia" w:ascii="仿宋_GB2312" w:hAnsi="仿宋_GB2312" w:eastAsia="仿宋_GB2312" w:cs="仿宋_GB2312"/>
          <w:spacing w:val="-6"/>
          <w:sz w:val="32"/>
          <w:szCs w:val="32"/>
        </w:rPr>
        <w:t>和《山东省重大行政决策程序规定》</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3"/>
          <w:sz w:val="32"/>
          <w:szCs w:val="32"/>
        </w:rPr>
        <w:t>山东省人民政府令</w:t>
      </w:r>
      <w:r>
        <w:rPr>
          <w:rFonts w:hint="eastAsia" w:ascii="仿宋_GB2312" w:hAnsi="仿宋_GB2312" w:eastAsia="仿宋_GB2312" w:cs="仿宋_GB2312"/>
          <w:spacing w:val="-37"/>
          <w:sz w:val="32"/>
          <w:szCs w:val="32"/>
        </w:rPr>
        <w:t>第</w:t>
      </w:r>
      <w:r>
        <w:rPr>
          <w:rFonts w:hint="eastAsia" w:ascii="仿宋_GB2312" w:hAnsi="仿宋_GB2312" w:eastAsia="仿宋_GB2312" w:cs="仿宋_GB2312"/>
          <w:spacing w:val="-4"/>
          <w:sz w:val="32"/>
          <w:szCs w:val="32"/>
        </w:rPr>
        <w:t>336号）关于风险评估的有关规定：</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重大行政决策的实施可能对</w:t>
      </w:r>
      <w:r>
        <w:rPr>
          <w:rFonts w:hint="eastAsia" w:ascii="仿宋_GB2312" w:hAnsi="仿宋_GB2312" w:eastAsia="仿宋_GB2312" w:cs="仿宋_GB2312"/>
          <w:spacing w:val="-9"/>
          <w:sz w:val="32"/>
          <w:szCs w:val="32"/>
        </w:rPr>
        <w:t>社会稳定、公共安全等方面造成不利影响的，决策承办单位或者负责</w:t>
      </w:r>
      <w:r>
        <w:rPr>
          <w:rFonts w:hint="eastAsia" w:ascii="仿宋_GB2312" w:hAnsi="仿宋_GB2312" w:eastAsia="仿宋_GB2312" w:cs="仿宋_GB2312"/>
          <w:spacing w:val="-6"/>
          <w:sz w:val="32"/>
          <w:szCs w:val="32"/>
        </w:rPr>
        <w:t>风险评估工作的其他单位应当组织评估决策草案的风险可控性，开展</w:t>
      </w:r>
      <w:r>
        <w:rPr>
          <w:rFonts w:hint="eastAsia" w:ascii="仿宋_GB2312" w:hAnsi="仿宋_GB2312" w:eastAsia="仿宋_GB2312" w:cs="仿宋_GB2312"/>
          <w:spacing w:val="-4"/>
          <w:sz w:val="32"/>
          <w:szCs w:val="32"/>
        </w:rPr>
        <w:t>风险评估，并形成风险评估报告</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，因此，根据相关法律法规要求需</w:t>
      </w:r>
      <w:r>
        <w:rPr>
          <w:rFonts w:hint="eastAsia" w:ascii="仿宋_GB2312" w:hAnsi="仿宋_GB2312" w:eastAsia="仿宋_GB2312" w:cs="仿宋_GB2312"/>
          <w:spacing w:val="-13"/>
          <w:sz w:val="32"/>
          <w:szCs w:val="32"/>
        </w:rPr>
        <w:t>对《</w:t>
      </w:r>
      <w:r>
        <w:rPr>
          <w:rFonts w:hint="eastAsia" w:ascii="仿宋_GB2312" w:hAnsi="仿宋_GB2312" w:eastAsia="仿宋_GB2312" w:cs="仿宋_GB2312"/>
          <w:spacing w:val="-13"/>
          <w:sz w:val="32"/>
          <w:szCs w:val="32"/>
          <w:lang w:eastAsia="zh-CN"/>
        </w:rPr>
        <w:t>商河县花卉产业“十四五”发展规划</w:t>
      </w:r>
      <w:r>
        <w:rPr>
          <w:rFonts w:hint="eastAsia" w:ascii="仿宋_GB2312" w:hAnsi="仿宋_GB2312" w:eastAsia="仿宋_GB2312" w:cs="仿宋_GB2312"/>
          <w:spacing w:val="-13"/>
          <w:sz w:val="32"/>
          <w:szCs w:val="32"/>
        </w:rPr>
        <w:t>（2021-2025）</w:t>
      </w:r>
      <w:r>
        <w:rPr>
          <w:rFonts w:hint="eastAsia" w:ascii="仿宋_GB2312" w:hAnsi="仿宋_GB2312" w:eastAsia="仿宋_GB2312" w:cs="仿宋_GB2312"/>
          <w:spacing w:val="-2"/>
          <w:sz w:val="32"/>
          <w:szCs w:val="32"/>
        </w:rPr>
        <w:t>》开展社会稳定风险调查和评估工作。我单位承担</w:t>
      </w:r>
      <w:r>
        <w:rPr>
          <w:rFonts w:hint="eastAsia" w:ascii="仿宋_GB2312" w:hAnsi="仿宋_GB2312" w:eastAsia="仿宋_GB2312" w:cs="仿宋_GB2312"/>
          <w:spacing w:val="-13"/>
          <w:sz w:val="32"/>
          <w:szCs w:val="32"/>
        </w:rPr>
        <w:t>了《</w:t>
      </w:r>
      <w:r>
        <w:rPr>
          <w:rFonts w:hint="eastAsia" w:ascii="仿宋_GB2312" w:hAnsi="仿宋_GB2312" w:eastAsia="仿宋_GB2312" w:cs="仿宋_GB2312"/>
          <w:spacing w:val="-13"/>
          <w:sz w:val="32"/>
          <w:szCs w:val="32"/>
          <w:lang w:eastAsia="zh-CN"/>
        </w:rPr>
        <w:t>商河县花卉产业“十四五”发展规划</w:t>
      </w:r>
      <w:r>
        <w:rPr>
          <w:rFonts w:hint="eastAsia" w:ascii="仿宋_GB2312" w:hAnsi="仿宋_GB2312" w:eastAsia="仿宋_GB2312" w:cs="仿宋_GB2312"/>
          <w:spacing w:val="-13"/>
          <w:sz w:val="32"/>
          <w:szCs w:val="32"/>
        </w:rPr>
        <w:t>（2021-2025）</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）编制工作，</w:t>
      </w:r>
      <w:r>
        <w:rPr>
          <w:rFonts w:hint="eastAsia" w:ascii="仿宋_GB2312" w:hAnsi="仿宋_GB2312" w:eastAsia="仿宋_GB2312" w:cs="仿宋_GB2312"/>
          <w:spacing w:val="-4"/>
          <w:sz w:val="32"/>
          <w:szCs w:val="32"/>
        </w:rPr>
        <w:t>在相关部门配合下，我单位对本规划纲要风险进行调查和评估，采取</w:t>
      </w:r>
      <w:r>
        <w:rPr>
          <w:rFonts w:hint="eastAsia" w:ascii="仿宋_GB2312" w:hAnsi="仿宋_GB2312" w:eastAsia="仿宋_GB2312" w:cs="仿宋_GB2312"/>
          <w:spacing w:val="-11"/>
          <w:sz w:val="32"/>
          <w:szCs w:val="32"/>
        </w:rPr>
        <w:t>走访调查、相关会议等方式征询相关部门和群众意见，查找并列出风</w:t>
      </w:r>
      <w:r>
        <w:rPr>
          <w:rFonts w:hint="eastAsia" w:ascii="仿宋_GB2312" w:hAnsi="仿宋_GB2312" w:eastAsia="仿宋_GB2312" w:cs="仿宋_GB2312"/>
          <w:spacing w:val="-4"/>
          <w:sz w:val="32"/>
          <w:szCs w:val="32"/>
        </w:rPr>
        <w:t>险点、风险发生的可能性及影响程度，提出防范和化解风险的方案措</w:t>
      </w:r>
      <w:r>
        <w:rPr>
          <w:rFonts w:hint="eastAsia" w:ascii="仿宋_GB2312" w:hAnsi="仿宋_GB2312" w:eastAsia="仿宋_GB2312" w:cs="仿宋_GB2312"/>
          <w:spacing w:val="-2"/>
          <w:sz w:val="32"/>
          <w:szCs w:val="32"/>
        </w:rPr>
        <w:t>施和意见建议，在此基础上，编制完成了评估报告。</w:t>
      </w:r>
    </w:p>
    <w:p>
      <w:pPr>
        <w:spacing w:after="0" w:line="364" w:lineRule="auto"/>
        <w:rPr>
          <w:rFonts w:ascii="Times New Roman" w:hAnsi="Times New Roman" w:eastAsia="宋体"/>
        </w:rPr>
        <w:sectPr>
          <w:type w:val="continuous"/>
          <w:pgSz w:w="11910" w:h="16840"/>
          <w:pgMar w:top="1440" w:right="1800" w:bottom="1440" w:left="1800" w:header="720" w:footer="720"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黑体" w:hAnsi="黑体" w:eastAsia="黑体" w:cs="黑体"/>
          <w:sz w:val="44"/>
          <w:szCs w:val="44"/>
        </w:rPr>
      </w:pPr>
      <w:r>
        <w:rPr>
          <w:rFonts w:hint="eastAsia" w:ascii="黑体" w:hAnsi="黑体" w:eastAsia="黑体" w:cs="黑体"/>
          <w:b/>
          <w:sz w:val="44"/>
          <w:szCs w:val="44"/>
        </w:rPr>
        <w:t>目</w:t>
      </w:r>
      <w:r>
        <w:rPr>
          <w:rFonts w:hint="eastAsia" w:ascii="黑体" w:hAnsi="黑体" w:eastAsia="黑体" w:cs="黑体"/>
          <w:b/>
          <w:spacing w:val="78"/>
          <w:w w:val="150"/>
          <w:sz w:val="44"/>
          <w:szCs w:val="44"/>
        </w:rPr>
        <w:t xml:space="preserve"> </w:t>
      </w:r>
      <w:r>
        <w:rPr>
          <w:rFonts w:hint="eastAsia" w:ascii="黑体" w:hAnsi="黑体" w:eastAsia="黑体" w:cs="黑体"/>
          <w:b/>
          <w:spacing w:val="-10"/>
          <w:sz w:val="44"/>
          <w:szCs w:val="44"/>
        </w:rPr>
        <w:t>录</w:t>
      </w:r>
    </w:p>
    <w:sdt>
      <w:sdtPr>
        <w:rPr>
          <w:rFonts w:ascii="宋体" w:hAnsi="宋体" w:eastAsia="宋体" w:cs="宋体"/>
          <w:sz w:val="21"/>
          <w:szCs w:val="22"/>
          <w:lang w:val="en-US" w:eastAsia="zh-CN" w:bidi="ar-SA"/>
        </w:rPr>
        <w:id w:val="147463000"/>
        <w15:color w:val="DBDBDB"/>
        <w:docPartObj>
          <w:docPartGallery w:val="Table of Contents"/>
          <w:docPartUnique/>
        </w:docPartObj>
      </w:sdtPr>
      <w:sdtEndPr>
        <w:rPr>
          <w:rFonts w:ascii="Times New Roman" w:hAnsi="Times New Roman" w:eastAsia="宋体" w:cs="宋体"/>
          <w:sz w:val="22"/>
          <w:szCs w:val="22"/>
          <w:lang w:val="en-US" w:eastAsia="zh-CN" w:bidi="ar-SA"/>
        </w:rPr>
      </w:sdtEndPr>
      <w:sdtContent>
        <w:p>
          <w:pPr>
            <w:spacing w:before="43" w:after="0"/>
            <w:ind w:left="0" w:leftChars="0" w:right="1540" w:rightChars="0" w:firstLine="0" w:firstLineChars="0"/>
            <w:jc w:val="center"/>
            <w:rPr>
              <w:rFonts w:ascii="Times New Roman" w:hAnsi="Times New Roman" w:eastAsia="宋体" w:cs="宋体"/>
              <w:b w:val="0"/>
              <w:bCs w:val="0"/>
              <w:sz w:val="22"/>
              <w:szCs w:val="22"/>
              <w:lang w:val="en-US" w:eastAsia="zh-CN" w:bidi="ar-SA"/>
            </w:rPr>
          </w:pPr>
          <w:r>
            <w:rPr>
              <w:rFonts w:ascii="Times New Roman" w:hAnsi="Times New Roman" w:eastAsia="宋体"/>
              <w:b w:val="0"/>
              <w:bCs w:val="0"/>
            </w:rPr>
            <w:fldChar w:fldCharType="begin"/>
          </w:r>
          <w:r>
            <w:rPr>
              <w:rFonts w:ascii="Times New Roman" w:hAnsi="Times New Roman" w:eastAsia="宋体"/>
              <w:b w:val="0"/>
              <w:bCs w:val="0"/>
            </w:rPr>
            <w:instrText xml:space="preserve">TOC \o "1-2" \h \u </w:instrText>
          </w:r>
          <w:r>
            <w:rPr>
              <w:rFonts w:ascii="Times New Roman" w:hAnsi="Times New Roman" w:eastAsia="宋体"/>
              <w:b w:val="0"/>
              <w:bCs w:val="0"/>
            </w:rPr>
            <w:fldChar w:fldCharType="separate"/>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_Toc25807 </w:instrText>
          </w:r>
          <w:r>
            <w:rPr>
              <w:rFonts w:ascii="Times New Roman" w:hAnsi="Times New Roman" w:eastAsia="宋体"/>
              <w:bCs w:val="0"/>
            </w:rPr>
            <w:fldChar w:fldCharType="separate"/>
          </w:r>
          <w:r>
            <w:rPr>
              <w:rFonts w:ascii="Times New Roman" w:hAnsi="Times New Roman" w:eastAsia="宋体"/>
              <w:w w:val="95"/>
            </w:rPr>
            <w:t>第一</w:t>
          </w:r>
          <w:r>
            <w:rPr>
              <w:rFonts w:ascii="Times New Roman" w:hAnsi="Times New Roman" w:eastAsia="宋体"/>
              <w:spacing w:val="-10"/>
              <w:w w:val="95"/>
            </w:rPr>
            <w:t>章</w:t>
          </w:r>
          <w:r>
            <w:rPr>
              <w:rFonts w:ascii="Times New Roman" w:hAnsi="Times New Roman" w:eastAsia="宋体"/>
              <w:w w:val="95"/>
            </w:rPr>
            <w:t>总</w:t>
          </w:r>
          <w:r>
            <w:rPr>
              <w:rFonts w:ascii="Times New Roman" w:hAnsi="Times New Roman" w:eastAsia="宋体"/>
              <w:spacing w:val="-10"/>
            </w:rPr>
            <w:t>论</w:t>
          </w:r>
          <w:r>
            <w:tab/>
          </w:r>
          <w:r>
            <w:fldChar w:fldCharType="begin"/>
          </w:r>
          <w:r>
            <w:instrText xml:space="preserve"> PAGEREF _Toc25807 \h </w:instrText>
          </w:r>
          <w:r>
            <w:fldChar w:fldCharType="separate"/>
          </w:r>
          <w:r>
            <w:t>1</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_Toc5798 </w:instrText>
          </w:r>
          <w:r>
            <w:rPr>
              <w:rFonts w:ascii="Times New Roman" w:hAnsi="Times New Roman" w:eastAsia="宋体"/>
              <w:bCs w:val="0"/>
            </w:rPr>
            <w:fldChar w:fldCharType="separate"/>
          </w:r>
          <w:r>
            <w:rPr>
              <w:rFonts w:hint="eastAsia" w:ascii="Times New Roman" w:hAnsi="Times New Roman" w:eastAsia="宋体" w:cs="黑体"/>
              <w:spacing w:val="-4"/>
              <w:lang w:val="en-US" w:eastAsia="zh-CN"/>
            </w:rPr>
            <w:t xml:space="preserve">1.1 </w:t>
          </w:r>
          <w:r>
            <w:rPr>
              <w:rFonts w:hint="eastAsia" w:ascii="Times New Roman" w:hAnsi="Times New Roman" w:eastAsia="宋体" w:cs="黑体"/>
              <w:spacing w:val="-4"/>
            </w:rPr>
            <w:t>编制依据</w:t>
          </w:r>
          <w:r>
            <w:tab/>
          </w:r>
          <w:r>
            <w:fldChar w:fldCharType="begin"/>
          </w:r>
          <w:r>
            <w:instrText xml:space="preserve"> PAGEREF _Toc5798 \h </w:instrText>
          </w:r>
          <w:r>
            <w:fldChar w:fldCharType="separate"/>
          </w:r>
          <w:r>
            <w:t>1</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_Toc25389 </w:instrText>
          </w:r>
          <w:r>
            <w:rPr>
              <w:rFonts w:ascii="Times New Roman" w:hAnsi="Times New Roman" w:eastAsia="宋体"/>
              <w:bCs w:val="0"/>
            </w:rPr>
            <w:fldChar w:fldCharType="separate"/>
          </w:r>
          <w:r>
            <w:rPr>
              <w:rFonts w:hint="eastAsia" w:ascii="Times New Roman" w:hAnsi="Times New Roman" w:eastAsia="宋体"/>
              <w:spacing w:val="-4"/>
              <w:lang w:val="en-US" w:eastAsia="zh-CN"/>
            </w:rPr>
            <w:t xml:space="preserve">1.2 </w:t>
          </w:r>
          <w:r>
            <w:rPr>
              <w:rFonts w:ascii="Times New Roman" w:hAnsi="Times New Roman" w:eastAsia="宋体"/>
              <w:spacing w:val="-4"/>
            </w:rPr>
            <w:t>规划概况</w:t>
          </w:r>
          <w:r>
            <w:tab/>
          </w:r>
          <w:r>
            <w:fldChar w:fldCharType="begin"/>
          </w:r>
          <w:r>
            <w:instrText xml:space="preserve"> PAGEREF _Toc25389 \h </w:instrText>
          </w:r>
          <w:r>
            <w:fldChar w:fldCharType="separate"/>
          </w:r>
          <w:r>
            <w:t>2</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_Toc9309 </w:instrText>
          </w:r>
          <w:r>
            <w:rPr>
              <w:rFonts w:ascii="Times New Roman" w:hAnsi="Times New Roman" w:eastAsia="宋体"/>
              <w:bCs w:val="0"/>
            </w:rPr>
            <w:fldChar w:fldCharType="separate"/>
          </w:r>
          <w:r>
            <w:rPr>
              <w:rFonts w:ascii="Times New Roman" w:hAnsi="Times New Roman" w:eastAsia="宋体"/>
              <w:w w:val="95"/>
            </w:rPr>
            <w:t>第二章风险调查</w:t>
          </w:r>
          <w:r>
            <w:tab/>
          </w:r>
          <w:r>
            <w:fldChar w:fldCharType="begin"/>
          </w:r>
          <w:r>
            <w:instrText xml:space="preserve"> PAGEREF _Toc9309 \h </w:instrText>
          </w:r>
          <w:r>
            <w:fldChar w:fldCharType="separate"/>
          </w:r>
          <w:r>
            <w:t>17</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_Toc17840 </w:instrText>
          </w:r>
          <w:r>
            <w:rPr>
              <w:rFonts w:ascii="Times New Roman" w:hAnsi="Times New Roman" w:eastAsia="宋体"/>
              <w:bCs w:val="0"/>
            </w:rPr>
            <w:fldChar w:fldCharType="separate"/>
          </w:r>
          <w:r>
            <w:rPr>
              <w:rFonts w:hint="eastAsia" w:ascii="Times New Roman" w:hAnsi="Times New Roman"/>
              <w:spacing w:val="-4"/>
              <w:lang w:val="en-US" w:eastAsia="zh-CN"/>
            </w:rPr>
            <w:t xml:space="preserve">2.1 </w:t>
          </w:r>
          <w:r>
            <w:rPr>
              <w:rFonts w:ascii="Times New Roman" w:hAnsi="Times New Roman" w:eastAsia="宋体"/>
              <w:spacing w:val="-4"/>
            </w:rPr>
            <w:t>调查内容</w:t>
          </w:r>
          <w:r>
            <w:tab/>
          </w:r>
          <w:r>
            <w:fldChar w:fldCharType="begin"/>
          </w:r>
          <w:r>
            <w:instrText xml:space="preserve"> PAGEREF _Toc17840 \h </w:instrText>
          </w:r>
          <w:r>
            <w:fldChar w:fldCharType="separate"/>
          </w:r>
          <w:r>
            <w:t>17</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_Toc26496 </w:instrText>
          </w:r>
          <w:r>
            <w:rPr>
              <w:rFonts w:ascii="Times New Roman" w:hAnsi="Times New Roman" w:eastAsia="宋体"/>
              <w:bCs w:val="0"/>
            </w:rPr>
            <w:fldChar w:fldCharType="separate"/>
          </w:r>
          <w:r>
            <w:rPr>
              <w:rFonts w:hint="eastAsia" w:ascii="Times New Roman" w:hAnsi="Times New Roman"/>
              <w:spacing w:val="-4"/>
              <w:lang w:val="en-US" w:eastAsia="zh-CN"/>
            </w:rPr>
            <w:t>2.2 意见征询范围及对象</w:t>
          </w:r>
          <w:r>
            <w:tab/>
          </w:r>
          <w:r>
            <w:fldChar w:fldCharType="begin"/>
          </w:r>
          <w:r>
            <w:instrText xml:space="preserve"> PAGEREF _Toc26496 \h </w:instrText>
          </w:r>
          <w:r>
            <w:fldChar w:fldCharType="separate"/>
          </w:r>
          <w:r>
            <w:t>17</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_Toc13218 </w:instrText>
          </w:r>
          <w:r>
            <w:rPr>
              <w:rFonts w:ascii="Times New Roman" w:hAnsi="Times New Roman" w:eastAsia="宋体"/>
              <w:bCs w:val="0"/>
            </w:rPr>
            <w:fldChar w:fldCharType="separate"/>
          </w:r>
          <w:r>
            <w:rPr>
              <w:rFonts w:hint="eastAsia" w:ascii="Times New Roman" w:hAnsi="Times New Roman"/>
              <w:spacing w:val="-3"/>
              <w:szCs w:val="28"/>
              <w:lang w:val="en-US" w:eastAsia="zh-CN"/>
            </w:rPr>
            <w:t xml:space="preserve">2.3 </w:t>
          </w:r>
          <w:r>
            <w:rPr>
              <w:rFonts w:ascii="Times New Roman" w:hAnsi="Times New Roman" w:eastAsia="宋体"/>
              <w:spacing w:val="-3"/>
              <w:szCs w:val="28"/>
            </w:rPr>
            <w:t>本规划纲要实施的合法性、合理性、可行性及风险可控性评</w:t>
          </w:r>
          <w:r>
            <w:rPr>
              <w:rFonts w:ascii="Times New Roman" w:hAnsi="Times New Roman" w:eastAsia="宋体"/>
              <w:w w:val="100"/>
              <w:szCs w:val="28"/>
            </w:rPr>
            <w:t>估</w:t>
          </w:r>
          <w:r>
            <w:tab/>
          </w:r>
          <w:r>
            <w:fldChar w:fldCharType="begin"/>
          </w:r>
          <w:r>
            <w:instrText xml:space="preserve"> PAGEREF _Toc13218 \h </w:instrText>
          </w:r>
          <w:r>
            <w:fldChar w:fldCharType="separate"/>
          </w:r>
          <w:r>
            <w:t>18</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_Toc8014 </w:instrText>
          </w:r>
          <w:r>
            <w:rPr>
              <w:rFonts w:ascii="Times New Roman" w:hAnsi="Times New Roman" w:eastAsia="宋体"/>
              <w:bCs w:val="0"/>
            </w:rPr>
            <w:fldChar w:fldCharType="separate"/>
          </w:r>
          <w:r>
            <w:rPr>
              <w:rFonts w:hint="eastAsia" w:ascii="Times New Roman" w:hAnsi="Times New Roman"/>
              <w:spacing w:val="-4"/>
              <w:lang w:val="en-US" w:eastAsia="zh-CN"/>
            </w:rPr>
            <w:t xml:space="preserve">2.4 </w:t>
          </w:r>
          <w:r>
            <w:rPr>
              <w:rFonts w:ascii="Times New Roman" w:hAnsi="Times New Roman" w:eastAsia="宋体"/>
              <w:spacing w:val="-4"/>
            </w:rPr>
            <w:t>利益相关者的意见</w:t>
          </w:r>
          <w:r>
            <w:tab/>
          </w:r>
          <w:r>
            <w:fldChar w:fldCharType="begin"/>
          </w:r>
          <w:r>
            <w:instrText xml:space="preserve"> PAGEREF _Toc8014 \h </w:instrText>
          </w:r>
          <w:r>
            <w:fldChar w:fldCharType="separate"/>
          </w:r>
          <w:r>
            <w:t>23</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_Toc3743 </w:instrText>
          </w:r>
          <w:r>
            <w:rPr>
              <w:rFonts w:ascii="Times New Roman" w:hAnsi="Times New Roman" w:eastAsia="宋体"/>
              <w:bCs w:val="0"/>
            </w:rPr>
            <w:fldChar w:fldCharType="separate"/>
          </w:r>
          <w:r>
            <w:rPr>
              <w:rFonts w:hint="eastAsia" w:ascii="Times New Roman" w:hAnsi="Times New Roman"/>
              <w:spacing w:val="-4"/>
              <w:lang w:val="en-US" w:eastAsia="zh-CN"/>
            </w:rPr>
            <w:t xml:space="preserve">2.5 </w:t>
          </w:r>
          <w:r>
            <w:rPr>
              <w:rFonts w:ascii="Times New Roman" w:hAnsi="Times New Roman" w:eastAsia="宋体"/>
              <w:spacing w:val="-4"/>
            </w:rPr>
            <w:t>媒体舆情调查</w:t>
          </w:r>
          <w:r>
            <w:tab/>
          </w:r>
          <w:r>
            <w:fldChar w:fldCharType="begin"/>
          </w:r>
          <w:r>
            <w:instrText xml:space="preserve"> PAGEREF _Toc3743 \h </w:instrText>
          </w:r>
          <w:r>
            <w:fldChar w:fldCharType="separate"/>
          </w:r>
          <w:r>
            <w:t>24</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_Toc9060 </w:instrText>
          </w:r>
          <w:r>
            <w:rPr>
              <w:rFonts w:ascii="Times New Roman" w:hAnsi="Times New Roman" w:eastAsia="宋体"/>
              <w:bCs w:val="0"/>
            </w:rPr>
            <w:fldChar w:fldCharType="separate"/>
          </w:r>
          <w:r>
            <w:rPr>
              <w:rFonts w:hint="eastAsia" w:ascii="Times New Roman" w:hAnsi="Times New Roman"/>
              <w:spacing w:val="-3"/>
              <w:lang w:val="en-US" w:eastAsia="zh-CN"/>
            </w:rPr>
            <w:t xml:space="preserve">2.6 </w:t>
          </w:r>
          <w:r>
            <w:rPr>
              <w:rFonts w:ascii="Times New Roman" w:hAnsi="Times New Roman" w:eastAsia="宋体"/>
              <w:spacing w:val="-3"/>
            </w:rPr>
            <w:t>决策事项引发的社会稳定风险</w:t>
          </w:r>
          <w:r>
            <w:tab/>
          </w:r>
          <w:r>
            <w:fldChar w:fldCharType="begin"/>
          </w:r>
          <w:r>
            <w:instrText xml:space="preserve"> PAGEREF _Toc9060 \h </w:instrText>
          </w:r>
          <w:r>
            <w:fldChar w:fldCharType="separate"/>
          </w:r>
          <w:r>
            <w:t>24</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_Toc4061 </w:instrText>
          </w:r>
          <w:r>
            <w:rPr>
              <w:rFonts w:ascii="Times New Roman" w:hAnsi="Times New Roman" w:eastAsia="宋体"/>
              <w:bCs w:val="0"/>
            </w:rPr>
            <w:fldChar w:fldCharType="separate"/>
          </w:r>
          <w:r>
            <w:rPr>
              <w:rFonts w:ascii="Times New Roman" w:hAnsi="Times New Roman" w:eastAsia="宋体"/>
              <w:w w:val="95"/>
            </w:rPr>
            <w:t>第三章风险估计</w:t>
          </w:r>
          <w:r>
            <w:tab/>
          </w:r>
          <w:r>
            <w:fldChar w:fldCharType="begin"/>
          </w:r>
          <w:r>
            <w:instrText xml:space="preserve"> PAGEREF _Toc4061 \h </w:instrText>
          </w:r>
          <w:r>
            <w:fldChar w:fldCharType="separate"/>
          </w:r>
          <w:r>
            <w:t>25</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_Toc4426 </w:instrText>
          </w:r>
          <w:r>
            <w:rPr>
              <w:rFonts w:ascii="Times New Roman" w:hAnsi="Times New Roman" w:eastAsia="宋体"/>
              <w:bCs w:val="0"/>
            </w:rPr>
            <w:fldChar w:fldCharType="separate"/>
          </w:r>
          <w:r>
            <w:rPr>
              <w:rFonts w:hint="eastAsia" w:ascii="Times New Roman" w:hAnsi="Times New Roman"/>
              <w:spacing w:val="-4"/>
              <w:lang w:val="en-US" w:eastAsia="zh-CN"/>
            </w:rPr>
            <w:t>3.1</w:t>
          </w:r>
          <w:r>
            <w:rPr>
              <w:rFonts w:ascii="Times New Roman" w:hAnsi="Times New Roman" w:eastAsia="宋体"/>
              <w:spacing w:val="-4"/>
            </w:rPr>
            <w:t>规划的合理性</w:t>
          </w:r>
          <w:r>
            <w:tab/>
          </w:r>
          <w:r>
            <w:fldChar w:fldCharType="begin"/>
          </w:r>
          <w:r>
            <w:instrText xml:space="preserve"> PAGEREF _Toc4426 \h </w:instrText>
          </w:r>
          <w:r>
            <w:fldChar w:fldCharType="separate"/>
          </w:r>
          <w:r>
            <w:t>25</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_Toc8938 </w:instrText>
          </w:r>
          <w:r>
            <w:rPr>
              <w:rFonts w:ascii="Times New Roman" w:hAnsi="Times New Roman" w:eastAsia="宋体"/>
              <w:bCs w:val="0"/>
            </w:rPr>
            <w:fldChar w:fldCharType="separate"/>
          </w:r>
          <w:r>
            <w:rPr>
              <w:rFonts w:hint="eastAsia" w:ascii="Times New Roman" w:hAnsi="Times New Roman"/>
              <w:spacing w:val="-4"/>
              <w:lang w:val="en-US" w:eastAsia="zh-CN"/>
            </w:rPr>
            <w:t xml:space="preserve">3.2 </w:t>
          </w:r>
          <w:r>
            <w:rPr>
              <w:rFonts w:ascii="Times New Roman" w:hAnsi="Times New Roman" w:eastAsia="宋体"/>
              <w:spacing w:val="-4"/>
            </w:rPr>
            <w:t>规划程序的合规性</w:t>
          </w:r>
          <w:r>
            <w:tab/>
          </w:r>
          <w:r>
            <w:fldChar w:fldCharType="begin"/>
          </w:r>
          <w:r>
            <w:instrText xml:space="preserve"> PAGEREF _Toc8938 \h </w:instrText>
          </w:r>
          <w:r>
            <w:fldChar w:fldCharType="separate"/>
          </w:r>
          <w:r>
            <w:t>25</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_Toc11522 </w:instrText>
          </w:r>
          <w:r>
            <w:rPr>
              <w:rFonts w:ascii="Times New Roman" w:hAnsi="Times New Roman" w:eastAsia="宋体"/>
              <w:bCs w:val="0"/>
            </w:rPr>
            <w:fldChar w:fldCharType="separate"/>
          </w:r>
          <w:r>
            <w:rPr>
              <w:rFonts w:hint="eastAsia" w:ascii="Times New Roman" w:hAnsi="Times New Roman"/>
              <w:spacing w:val="-4"/>
              <w:lang w:val="en-US" w:eastAsia="zh-CN"/>
            </w:rPr>
            <w:t xml:space="preserve">3.3 </w:t>
          </w:r>
          <w:r>
            <w:rPr>
              <w:rFonts w:ascii="Times New Roman" w:hAnsi="Times New Roman" w:eastAsia="宋体"/>
              <w:spacing w:val="-4"/>
            </w:rPr>
            <w:t>财政能力</w:t>
          </w:r>
          <w:r>
            <w:tab/>
          </w:r>
          <w:r>
            <w:fldChar w:fldCharType="begin"/>
          </w:r>
          <w:r>
            <w:instrText xml:space="preserve"> PAGEREF _Toc11522 \h </w:instrText>
          </w:r>
          <w:r>
            <w:fldChar w:fldCharType="separate"/>
          </w:r>
          <w:r>
            <w:t>26</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_Toc4037 </w:instrText>
          </w:r>
          <w:r>
            <w:rPr>
              <w:rFonts w:ascii="Times New Roman" w:hAnsi="Times New Roman" w:eastAsia="宋体"/>
              <w:bCs w:val="0"/>
            </w:rPr>
            <w:fldChar w:fldCharType="separate"/>
          </w:r>
          <w:r>
            <w:rPr>
              <w:rFonts w:hint="eastAsia" w:ascii="Times New Roman" w:hAnsi="Times New Roman"/>
              <w:spacing w:val="-4"/>
              <w:lang w:val="en-US" w:eastAsia="zh-CN"/>
            </w:rPr>
            <w:t xml:space="preserve">3.4 </w:t>
          </w:r>
          <w:r>
            <w:rPr>
              <w:rFonts w:ascii="Times New Roman" w:hAnsi="Times New Roman" w:eastAsia="宋体"/>
              <w:spacing w:val="-4"/>
            </w:rPr>
            <w:t>公众参与</w:t>
          </w:r>
          <w:r>
            <w:tab/>
          </w:r>
          <w:r>
            <w:fldChar w:fldCharType="begin"/>
          </w:r>
          <w:r>
            <w:instrText xml:space="preserve"> PAGEREF _Toc4037 \h </w:instrText>
          </w:r>
          <w:r>
            <w:fldChar w:fldCharType="separate"/>
          </w:r>
          <w:r>
            <w:t>26</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_Toc27273 </w:instrText>
          </w:r>
          <w:r>
            <w:rPr>
              <w:rFonts w:ascii="Times New Roman" w:hAnsi="Times New Roman" w:eastAsia="宋体"/>
              <w:bCs w:val="0"/>
            </w:rPr>
            <w:fldChar w:fldCharType="separate"/>
          </w:r>
          <w:r>
            <w:rPr>
              <w:rFonts w:hint="eastAsia" w:ascii="Times New Roman" w:hAnsi="Times New Roman"/>
              <w:spacing w:val="-4"/>
              <w:lang w:val="en-US" w:eastAsia="zh-CN"/>
            </w:rPr>
            <w:t xml:space="preserve">3.5 </w:t>
          </w:r>
          <w:r>
            <w:rPr>
              <w:rFonts w:ascii="Times New Roman" w:hAnsi="Times New Roman" w:eastAsia="宋体"/>
              <w:spacing w:val="-4"/>
            </w:rPr>
            <w:t>生态环境影响</w:t>
          </w:r>
          <w:r>
            <w:tab/>
          </w:r>
          <w:r>
            <w:fldChar w:fldCharType="begin"/>
          </w:r>
          <w:r>
            <w:instrText xml:space="preserve"> PAGEREF _Toc27273 \h </w:instrText>
          </w:r>
          <w:r>
            <w:fldChar w:fldCharType="separate"/>
          </w:r>
          <w:r>
            <w:t>27</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_Toc32390 </w:instrText>
          </w:r>
          <w:r>
            <w:rPr>
              <w:rFonts w:ascii="Times New Roman" w:hAnsi="Times New Roman" w:eastAsia="宋体"/>
              <w:bCs w:val="0"/>
            </w:rPr>
            <w:fldChar w:fldCharType="separate"/>
          </w:r>
          <w:r>
            <w:rPr>
              <w:rFonts w:hint="eastAsia" w:ascii="Times New Roman" w:hAnsi="Times New Roman"/>
              <w:spacing w:val="-4"/>
              <w:lang w:val="en-US" w:eastAsia="zh-CN"/>
            </w:rPr>
            <w:t xml:space="preserve">3.6 </w:t>
          </w:r>
          <w:r>
            <w:rPr>
              <w:rFonts w:ascii="Times New Roman" w:hAnsi="Times New Roman" w:eastAsia="宋体"/>
              <w:spacing w:val="-4"/>
            </w:rPr>
            <w:t>生活生产影响</w:t>
          </w:r>
          <w:r>
            <w:tab/>
          </w:r>
          <w:r>
            <w:fldChar w:fldCharType="begin"/>
          </w:r>
          <w:r>
            <w:instrText xml:space="preserve"> PAGEREF _Toc32390 \h </w:instrText>
          </w:r>
          <w:r>
            <w:fldChar w:fldCharType="separate"/>
          </w:r>
          <w:r>
            <w:t>27</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_Toc3424 </w:instrText>
          </w:r>
          <w:r>
            <w:rPr>
              <w:rFonts w:ascii="Times New Roman" w:hAnsi="Times New Roman" w:eastAsia="宋体"/>
              <w:bCs w:val="0"/>
            </w:rPr>
            <w:fldChar w:fldCharType="separate"/>
          </w:r>
          <w:r>
            <w:rPr>
              <w:rFonts w:hint="eastAsia" w:ascii="Times New Roman" w:hAnsi="Times New Roman"/>
              <w:spacing w:val="-4"/>
              <w:lang w:val="en-US" w:eastAsia="zh-CN"/>
            </w:rPr>
            <w:t xml:space="preserve">3.7 </w:t>
          </w:r>
          <w:r>
            <w:rPr>
              <w:rFonts w:ascii="Times New Roman" w:hAnsi="Times New Roman" w:eastAsia="宋体"/>
              <w:spacing w:val="-4"/>
            </w:rPr>
            <w:t>基层群众舆情</w:t>
          </w:r>
          <w:r>
            <w:tab/>
          </w:r>
          <w:r>
            <w:fldChar w:fldCharType="begin"/>
          </w:r>
          <w:r>
            <w:instrText xml:space="preserve"> PAGEREF _Toc3424 \h </w:instrText>
          </w:r>
          <w:r>
            <w:fldChar w:fldCharType="separate"/>
          </w:r>
          <w:r>
            <w:t>27</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_Toc6478 </w:instrText>
          </w:r>
          <w:r>
            <w:rPr>
              <w:rFonts w:ascii="Times New Roman" w:hAnsi="Times New Roman" w:eastAsia="宋体"/>
              <w:bCs w:val="0"/>
            </w:rPr>
            <w:fldChar w:fldCharType="separate"/>
          </w:r>
          <w:r>
            <w:rPr>
              <w:rFonts w:ascii="Times New Roman" w:hAnsi="Times New Roman" w:eastAsia="宋体"/>
              <w:w w:val="95"/>
            </w:rPr>
            <w:t>第四</w:t>
          </w:r>
          <w:r>
            <w:rPr>
              <w:rFonts w:ascii="Times New Roman" w:hAnsi="Times New Roman" w:eastAsia="宋体"/>
              <w:spacing w:val="-10"/>
              <w:w w:val="95"/>
            </w:rPr>
            <w:t>章</w:t>
          </w:r>
          <w:r>
            <w:rPr>
              <w:rFonts w:ascii="Times New Roman" w:hAnsi="Times New Roman" w:eastAsia="宋体"/>
              <w:w w:val="95"/>
            </w:rPr>
            <w:t>风险防范和化解措</w:t>
          </w:r>
          <w:r>
            <w:rPr>
              <w:rFonts w:ascii="Times New Roman" w:hAnsi="Times New Roman" w:eastAsia="宋体"/>
              <w:spacing w:val="-10"/>
              <w:w w:val="95"/>
            </w:rPr>
            <w:t>施</w:t>
          </w:r>
          <w:r>
            <w:tab/>
          </w:r>
          <w:r>
            <w:fldChar w:fldCharType="begin"/>
          </w:r>
          <w:r>
            <w:instrText xml:space="preserve"> PAGEREF _Toc6478 \h </w:instrText>
          </w:r>
          <w:r>
            <w:fldChar w:fldCharType="separate"/>
          </w:r>
          <w:r>
            <w:t>28</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_Toc16706 </w:instrText>
          </w:r>
          <w:r>
            <w:rPr>
              <w:rFonts w:ascii="Times New Roman" w:hAnsi="Times New Roman" w:eastAsia="宋体"/>
              <w:bCs w:val="0"/>
            </w:rPr>
            <w:fldChar w:fldCharType="separate"/>
          </w:r>
          <w:r>
            <w:rPr>
              <w:rFonts w:hint="eastAsia" w:ascii="Times New Roman" w:hAnsi="Times New Roman"/>
              <w:spacing w:val="-3"/>
              <w:lang w:val="en-US" w:eastAsia="zh-CN"/>
            </w:rPr>
            <w:t xml:space="preserve">4.1 </w:t>
          </w:r>
          <w:r>
            <w:rPr>
              <w:rFonts w:ascii="Times New Roman" w:hAnsi="Times New Roman" w:eastAsia="宋体"/>
              <w:spacing w:val="-3"/>
            </w:rPr>
            <w:t>规划合理性风险防范化解措施</w:t>
          </w:r>
          <w:r>
            <w:tab/>
          </w:r>
          <w:r>
            <w:fldChar w:fldCharType="begin"/>
          </w:r>
          <w:r>
            <w:instrText xml:space="preserve"> PAGEREF _Toc16706 \h </w:instrText>
          </w:r>
          <w:r>
            <w:fldChar w:fldCharType="separate"/>
          </w:r>
          <w:r>
            <w:t>28</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_Toc18077 </w:instrText>
          </w:r>
          <w:r>
            <w:rPr>
              <w:rFonts w:ascii="Times New Roman" w:hAnsi="Times New Roman" w:eastAsia="宋体"/>
              <w:bCs w:val="0"/>
            </w:rPr>
            <w:fldChar w:fldCharType="separate"/>
          </w:r>
          <w:r>
            <w:rPr>
              <w:rFonts w:hint="eastAsia" w:ascii="Times New Roman" w:hAnsi="Times New Roman"/>
              <w:spacing w:val="-3"/>
              <w:lang w:val="en-US" w:eastAsia="zh-CN"/>
            </w:rPr>
            <w:t xml:space="preserve">4.2 </w:t>
          </w:r>
          <w:r>
            <w:rPr>
              <w:rFonts w:ascii="Times New Roman" w:hAnsi="Times New Roman" w:eastAsia="宋体"/>
              <w:spacing w:val="-3"/>
            </w:rPr>
            <w:t>规划程序的合规性风险防范化解措施</w:t>
          </w:r>
          <w:r>
            <w:tab/>
          </w:r>
          <w:r>
            <w:fldChar w:fldCharType="begin"/>
          </w:r>
          <w:r>
            <w:instrText xml:space="preserve"> PAGEREF _Toc18077 \h </w:instrText>
          </w:r>
          <w:r>
            <w:fldChar w:fldCharType="separate"/>
          </w:r>
          <w:r>
            <w:t>30</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_Toc23956 </w:instrText>
          </w:r>
          <w:r>
            <w:rPr>
              <w:rFonts w:ascii="Times New Roman" w:hAnsi="Times New Roman" w:eastAsia="宋体"/>
              <w:bCs w:val="0"/>
            </w:rPr>
            <w:fldChar w:fldCharType="separate"/>
          </w:r>
          <w:r>
            <w:rPr>
              <w:rFonts w:hint="eastAsia" w:ascii="Times New Roman" w:hAnsi="Times New Roman"/>
              <w:spacing w:val="-3"/>
              <w:lang w:val="en-US" w:eastAsia="zh-CN"/>
            </w:rPr>
            <w:t xml:space="preserve">4.3 </w:t>
          </w:r>
          <w:r>
            <w:rPr>
              <w:rFonts w:ascii="Times New Roman" w:hAnsi="Times New Roman" w:eastAsia="宋体"/>
              <w:spacing w:val="-3"/>
            </w:rPr>
            <w:t>财政能力风险防范化解措施</w:t>
          </w:r>
          <w:r>
            <w:tab/>
          </w:r>
          <w:r>
            <w:fldChar w:fldCharType="begin"/>
          </w:r>
          <w:r>
            <w:instrText xml:space="preserve"> PAGEREF _Toc23956 \h </w:instrText>
          </w:r>
          <w:r>
            <w:fldChar w:fldCharType="separate"/>
          </w:r>
          <w:r>
            <w:t>31</w:t>
          </w:r>
          <w:r>
            <w:fldChar w:fldCharType="end"/>
          </w:r>
          <w:r>
            <w:rPr>
              <w:rFonts w:ascii="Times New Roman" w:hAnsi="Times New Roman" w:eastAsia="宋体"/>
              <w:bCs w:val="0"/>
            </w:rPr>
            <w:fldChar w:fldCharType="end"/>
          </w:r>
        </w:p>
        <w:p>
          <w:pPr>
            <w:pStyle w:val="9"/>
            <w:tabs>
              <w:tab w:val="right" w:leader="dot" w:pos="8310"/>
            </w:tabs>
          </w:pPr>
          <w:r>
            <w:rPr>
              <w:rFonts w:ascii="Times New Roman" w:hAnsi="Times New Roman" w:eastAsia="宋体"/>
              <w:bCs w:val="0"/>
            </w:rPr>
            <w:fldChar w:fldCharType="begin"/>
          </w:r>
          <w:r>
            <w:rPr>
              <w:rFonts w:ascii="Times New Roman" w:hAnsi="Times New Roman" w:eastAsia="宋体"/>
              <w:bCs w:val="0"/>
            </w:rPr>
            <w:instrText xml:space="preserve"> HYPERLINK \l _Toc1928 </w:instrText>
          </w:r>
          <w:r>
            <w:rPr>
              <w:rFonts w:ascii="Times New Roman" w:hAnsi="Times New Roman" w:eastAsia="宋体"/>
              <w:bCs w:val="0"/>
            </w:rPr>
            <w:fldChar w:fldCharType="separate"/>
          </w:r>
          <w:r>
            <w:rPr>
              <w:rFonts w:hint="eastAsia" w:ascii="Times New Roman" w:hAnsi="Times New Roman"/>
              <w:spacing w:val="-3"/>
              <w:lang w:val="en-US" w:eastAsia="zh-CN"/>
            </w:rPr>
            <w:t xml:space="preserve">4.4 </w:t>
          </w:r>
          <w:r>
            <w:rPr>
              <w:rFonts w:ascii="Times New Roman" w:hAnsi="Times New Roman" w:eastAsia="宋体"/>
              <w:spacing w:val="-3"/>
            </w:rPr>
            <w:t>公众参与和舆论风险防范化解措施</w:t>
          </w:r>
          <w:r>
            <w:tab/>
          </w:r>
          <w:r>
            <w:fldChar w:fldCharType="begin"/>
          </w:r>
          <w:r>
            <w:instrText xml:space="preserve"> PAGEREF _Toc1928 \h </w:instrText>
          </w:r>
          <w:r>
            <w:fldChar w:fldCharType="separate"/>
          </w:r>
          <w:r>
            <w:t>32</w:t>
          </w:r>
          <w:r>
            <w:fldChar w:fldCharType="end"/>
          </w:r>
          <w:r>
            <w:rPr>
              <w:rFonts w:ascii="Times New Roman" w:hAnsi="Times New Roman" w:eastAsia="宋体"/>
              <w:bCs w:val="0"/>
            </w:rPr>
            <w:fldChar w:fldCharType="end"/>
          </w:r>
        </w:p>
        <w:p>
          <w:pPr>
            <w:pStyle w:val="9"/>
            <w:tabs>
              <w:tab w:val="right" w:leader="dot" w:pos="8310"/>
            </w:tabs>
            <w:rPr>
              <w:rFonts w:ascii="Times New Roman" w:hAnsi="Times New Roman" w:eastAsia="宋体"/>
              <w:bCs w:val="0"/>
            </w:rPr>
          </w:pPr>
          <w:r>
            <w:rPr>
              <w:rFonts w:ascii="Times New Roman" w:hAnsi="Times New Roman" w:eastAsia="宋体"/>
              <w:bCs w:val="0"/>
            </w:rPr>
            <w:fldChar w:fldCharType="begin"/>
          </w:r>
          <w:r>
            <w:rPr>
              <w:rFonts w:ascii="Times New Roman" w:hAnsi="Times New Roman" w:eastAsia="宋体"/>
              <w:bCs w:val="0"/>
            </w:rPr>
            <w:instrText xml:space="preserve"> HYPERLINK \l _Toc20821 </w:instrText>
          </w:r>
          <w:r>
            <w:rPr>
              <w:rFonts w:ascii="Times New Roman" w:hAnsi="Times New Roman" w:eastAsia="宋体"/>
              <w:bCs w:val="0"/>
            </w:rPr>
            <w:fldChar w:fldCharType="separate"/>
          </w:r>
          <w:r>
            <w:rPr>
              <w:rFonts w:hint="eastAsia" w:ascii="Times New Roman" w:hAnsi="Times New Roman"/>
              <w:spacing w:val="-3"/>
              <w:lang w:val="en-US" w:eastAsia="zh-CN"/>
            </w:rPr>
            <w:t>4.5 生态环境影响风险防范化解措施</w:t>
          </w:r>
          <w:r>
            <w:tab/>
          </w:r>
          <w:r>
            <w:fldChar w:fldCharType="begin"/>
          </w:r>
          <w:r>
            <w:instrText xml:space="preserve"> PAGEREF _Toc20821 \h </w:instrText>
          </w:r>
          <w:r>
            <w:fldChar w:fldCharType="separate"/>
          </w:r>
          <w:r>
            <w:t>33</w:t>
          </w:r>
          <w:r>
            <w:fldChar w:fldCharType="end"/>
          </w:r>
          <w:r>
            <w:rPr>
              <w:rFonts w:ascii="Times New Roman" w:hAnsi="Times New Roman" w:eastAsia="宋体"/>
              <w:bCs w:val="0"/>
            </w:rPr>
            <w:fldChar w:fldCharType="end"/>
          </w:r>
        </w:p>
        <w:p>
          <w:pPr>
            <w:pStyle w:val="9"/>
            <w:tabs>
              <w:tab w:val="right" w:leader="dot" w:pos="8310"/>
            </w:tabs>
            <w:rPr>
              <w:rFonts w:ascii="Times New Roman" w:hAnsi="Times New Roman" w:eastAsia="宋体"/>
              <w:bCs w:val="0"/>
            </w:rPr>
          </w:pPr>
          <w:r>
            <w:rPr>
              <w:rFonts w:ascii="Times New Roman" w:hAnsi="Times New Roman" w:eastAsia="宋体"/>
              <w:bCs w:val="0"/>
            </w:rPr>
            <w:fldChar w:fldCharType="begin"/>
          </w:r>
          <w:r>
            <w:rPr>
              <w:rFonts w:ascii="Times New Roman" w:hAnsi="Times New Roman" w:eastAsia="宋体"/>
              <w:bCs w:val="0"/>
            </w:rPr>
            <w:instrText xml:space="preserve"> HYPERLINK \l _Toc20821 </w:instrText>
          </w:r>
          <w:r>
            <w:rPr>
              <w:rFonts w:ascii="Times New Roman" w:hAnsi="Times New Roman" w:eastAsia="宋体"/>
              <w:bCs w:val="0"/>
            </w:rPr>
            <w:fldChar w:fldCharType="separate"/>
          </w:r>
          <w:r>
            <w:rPr>
              <w:rFonts w:hint="eastAsia" w:ascii="Times New Roman" w:hAnsi="Times New Roman"/>
              <w:spacing w:val="-3"/>
              <w:lang w:val="en-US" w:eastAsia="zh-CN"/>
            </w:rPr>
            <w:t>总论</w:t>
          </w:r>
          <w:r>
            <w:tab/>
          </w:r>
          <w:r>
            <w:fldChar w:fldCharType="begin"/>
          </w:r>
          <w:r>
            <w:instrText xml:space="preserve"> PAGEREF _Toc20821 \h </w:instrText>
          </w:r>
          <w:r>
            <w:fldChar w:fldCharType="separate"/>
          </w:r>
          <w:r>
            <w:t>3</w:t>
          </w:r>
          <w:r>
            <w:rPr>
              <w:rFonts w:hint="eastAsia"/>
              <w:lang w:val="en-US" w:eastAsia="zh-CN"/>
            </w:rPr>
            <w:t>4</w:t>
          </w:r>
          <w:r>
            <w:fldChar w:fldCharType="end"/>
          </w:r>
          <w:r>
            <w:rPr>
              <w:rFonts w:ascii="Times New Roman" w:hAnsi="Times New Roman" w:eastAsia="宋体"/>
              <w:bCs w:val="0"/>
            </w:rPr>
            <w:fldChar w:fldCharType="end"/>
          </w:r>
        </w:p>
        <w:p>
          <w:pPr>
            <w:spacing w:before="43" w:after="0"/>
            <w:ind w:left="0" w:leftChars="0" w:right="1540" w:rightChars="0" w:firstLine="0" w:firstLineChars="0"/>
            <w:jc w:val="center"/>
            <w:rPr>
              <w:rFonts w:ascii="Times New Roman" w:hAnsi="Times New Roman" w:eastAsia="宋体"/>
              <w:b w:val="0"/>
              <w:bCs w:val="0"/>
            </w:rPr>
          </w:pPr>
          <w:r>
            <w:rPr>
              <w:rFonts w:ascii="Times New Roman" w:hAnsi="Times New Roman" w:eastAsia="宋体"/>
              <w:b w:val="0"/>
              <w:bCs w:val="0"/>
            </w:rPr>
            <w:fldChar w:fldCharType="end"/>
          </w:r>
        </w:p>
        <w:p>
          <w:pPr>
            <w:rPr>
              <w:rFonts w:ascii="Times New Roman" w:hAnsi="Times New Roman" w:eastAsia="宋体"/>
              <w:b w:val="0"/>
              <w:bCs w:val="0"/>
            </w:rPr>
          </w:pPr>
          <w:r>
            <w:rPr>
              <w:rFonts w:ascii="Times New Roman" w:hAnsi="Times New Roman" w:eastAsia="宋体"/>
              <w:b w:val="0"/>
              <w:bCs w:val="0"/>
            </w:rPr>
            <w:br w:type="page"/>
          </w:r>
        </w:p>
        <w:p>
          <w:pPr>
            <w:spacing w:before="43" w:after="0"/>
            <w:ind w:left="0" w:leftChars="0" w:right="1540" w:rightChars="0" w:firstLine="0" w:firstLineChars="0"/>
            <w:jc w:val="center"/>
            <w:rPr>
              <w:rFonts w:ascii="Times New Roman" w:hAnsi="Times New Roman" w:eastAsia="宋体"/>
            </w:rPr>
            <w:sectPr>
              <w:type w:val="continuous"/>
              <w:pgSz w:w="11910" w:h="16840"/>
              <w:pgMar w:top="1440" w:right="1800" w:bottom="1440" w:left="1800" w:header="720" w:footer="720" w:gutter="0"/>
              <w:cols w:space="720" w:num="1"/>
            </w:sectPr>
          </w:pPr>
        </w:p>
      </w:sdtContent>
    </w:sdt>
    <w:p>
      <w:pPr>
        <w:pStyle w:val="2"/>
        <w:keepNext w:val="0"/>
        <w:keepLines w:val="0"/>
        <w:pageBreakBefore w:val="0"/>
        <w:widowControl w:val="0"/>
        <w:tabs>
          <w:tab w:val="left" w:pos="4712"/>
        </w:tabs>
        <w:kinsoku/>
        <w:wordWrap/>
        <w:overflowPunct/>
        <w:topLinePunct w:val="0"/>
        <w:autoSpaceDE w:val="0"/>
        <w:autoSpaceDN w:val="0"/>
        <w:bidi w:val="0"/>
        <w:adjustRightInd/>
        <w:snapToGrid/>
        <w:spacing w:line="360" w:lineRule="auto"/>
        <w:ind w:left="0"/>
        <w:jc w:val="center"/>
        <w:textAlignment w:val="auto"/>
        <w:outlineLvl w:val="0"/>
        <w:rPr>
          <w:rFonts w:ascii="Times New Roman" w:hAnsi="Times New Roman" w:eastAsia="宋体"/>
        </w:rPr>
      </w:pPr>
      <w:bookmarkStart w:id="2" w:name="_Toc25807"/>
      <w:r>
        <w:rPr>
          <w:rFonts w:hint="eastAsia" w:ascii="方正小标宋简体" w:hAnsi="方正小标宋简体" w:eastAsia="方正小标宋简体" w:cs="方正小标宋简体"/>
          <w:b w:val="0"/>
          <w:bCs w:val="0"/>
          <w:w w:val="95"/>
        </w:rPr>
        <w:t>第一</w:t>
      </w:r>
      <w:r>
        <w:rPr>
          <w:rFonts w:hint="eastAsia" w:ascii="方正小标宋简体" w:hAnsi="方正小标宋简体" w:eastAsia="方正小标宋简体" w:cs="方正小标宋简体"/>
          <w:b w:val="0"/>
          <w:bCs w:val="0"/>
          <w:spacing w:val="-10"/>
          <w:w w:val="95"/>
        </w:rPr>
        <w:t>章</w:t>
      </w:r>
      <w:r>
        <w:rPr>
          <w:rFonts w:hint="eastAsia" w:ascii="方正小标宋简体" w:hAnsi="方正小标宋简体" w:eastAsia="方正小标宋简体" w:cs="方正小标宋简体"/>
          <w:b w:val="0"/>
          <w:bCs w:val="0"/>
          <w:spacing w:val="-10"/>
          <w:w w:val="95"/>
          <w:lang w:val="en-US" w:eastAsia="zh-CN"/>
        </w:rPr>
        <w:t xml:space="preserve">  </w:t>
      </w:r>
      <w:r>
        <w:rPr>
          <w:rFonts w:hint="eastAsia" w:ascii="方正小标宋简体" w:hAnsi="方正小标宋简体" w:eastAsia="方正小标宋简体" w:cs="方正小标宋简体"/>
          <w:b w:val="0"/>
          <w:bCs w:val="0"/>
          <w:w w:val="95"/>
        </w:rPr>
        <w:t>总</w:t>
      </w:r>
      <w:r>
        <w:rPr>
          <w:rFonts w:hint="eastAsia" w:ascii="方正小标宋简体" w:hAnsi="方正小标宋简体" w:eastAsia="方正小标宋简体" w:cs="方正小标宋简体"/>
          <w:b w:val="0"/>
          <w:bCs w:val="0"/>
          <w:spacing w:val="-10"/>
        </w:rPr>
        <w:t>论</w:t>
      </w:r>
      <w:bookmarkEnd w:id="2"/>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right="0" w:rightChars="0" w:firstLine="624" w:firstLineChars="200"/>
        <w:jc w:val="both"/>
        <w:textAlignment w:val="auto"/>
        <w:outlineLvl w:val="9"/>
        <w:rPr>
          <w:rFonts w:hint="eastAsia" w:ascii="黑体" w:hAnsi="黑体" w:eastAsia="黑体" w:cs="黑体"/>
          <w:sz w:val="32"/>
          <w:szCs w:val="32"/>
        </w:rPr>
      </w:pPr>
      <w:bookmarkStart w:id="3" w:name="_Toc5798"/>
      <w:r>
        <w:rPr>
          <w:rFonts w:hint="eastAsia" w:ascii="黑体" w:hAnsi="黑体" w:eastAsia="黑体" w:cs="黑体"/>
          <w:spacing w:val="-4"/>
          <w:sz w:val="32"/>
          <w:szCs w:val="32"/>
          <w:lang w:val="en-US" w:eastAsia="zh-CN"/>
        </w:rPr>
        <w:t xml:space="preserve">1.1 </w:t>
      </w:r>
      <w:r>
        <w:rPr>
          <w:rFonts w:hint="eastAsia" w:ascii="黑体" w:hAnsi="黑体" w:eastAsia="黑体" w:cs="黑体"/>
          <w:spacing w:val="-4"/>
          <w:sz w:val="32"/>
          <w:szCs w:val="32"/>
        </w:rPr>
        <w:t>编制依据</w:t>
      </w:r>
      <w:bookmarkEnd w:id="3"/>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leftChars="0" w:right="0" w:rightChars="0" w:firstLine="627" w:firstLineChars="200"/>
        <w:jc w:val="both"/>
        <w:textAlignment w:val="auto"/>
        <w:outlineLvl w:val="9"/>
        <w:rPr>
          <w:rFonts w:hint="eastAsia" w:ascii="仿宋_GB2312" w:hAnsi="仿宋_GB2312" w:eastAsia="仿宋_GB2312" w:cs="仿宋_GB2312"/>
          <w:b/>
          <w:bCs/>
          <w:spacing w:val="-4"/>
          <w:sz w:val="32"/>
          <w:szCs w:val="32"/>
        </w:rPr>
      </w:pPr>
      <w:bookmarkStart w:id="4" w:name="_bookmark2"/>
      <w:bookmarkEnd w:id="4"/>
      <w:r>
        <w:rPr>
          <w:rFonts w:hint="eastAsia" w:ascii="仿宋_GB2312" w:hAnsi="仿宋_GB2312" w:eastAsia="仿宋_GB2312" w:cs="仿宋_GB2312"/>
          <w:b/>
          <w:bCs/>
          <w:spacing w:val="-4"/>
          <w:sz w:val="32"/>
          <w:szCs w:val="32"/>
          <w:lang w:val="en-US" w:eastAsia="zh-CN"/>
        </w:rPr>
        <w:t xml:space="preserve">1.1.1 </w:t>
      </w:r>
      <w:r>
        <w:rPr>
          <w:rFonts w:hint="eastAsia" w:ascii="仿宋_GB2312" w:hAnsi="仿宋_GB2312" w:eastAsia="仿宋_GB2312" w:cs="仿宋_GB2312"/>
          <w:b/>
          <w:bCs/>
          <w:spacing w:val="-4"/>
          <w:sz w:val="32"/>
          <w:szCs w:val="32"/>
        </w:rPr>
        <w:t>国家法律法规及规划</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1、《中华人民共和国宪法》（节选</w:t>
      </w:r>
      <w:r>
        <w:rPr>
          <w:rFonts w:hint="eastAsia" w:ascii="仿宋_GB2312" w:hAnsi="仿宋_GB2312" w:eastAsia="仿宋_GB2312" w:cs="仿宋_GB2312"/>
          <w:spacing w:val="-10"/>
          <w:sz w:val="32"/>
          <w:szCs w:val="32"/>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2、《中华人民共和国民法通则》（节选）</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3、《中华人民共和国土地管理法》（2019修正）</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4、《中华人民共和国城乡规划法》（2019修正）</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5、《中华人民共和国节约能源法》（2008年）</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6、《中华人民共和国环境保护法》（2014修订）</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7、《中华人民共和国环境影响评价法》（2018修正）</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8、《中华人民共和国突发事件应对法》（2007年）</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9、《中华人民共和国物权法》（2007年）</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10、《中华人民共和国城市房地产管理法》（2019修正）</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11、《中华人民共和国铁路法》（2015年修正）</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12、《中共中央办公厅、国务院办公厅印发〈关于建立健全重大决策社会稳定风险评估机制的指导意见（试行）〉的通知》</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13、《重大行政决策程序暂行条例》（中华人民共和国国务院令第713号）</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14、《信访条例》（中华人民共和国国务院令第431号）</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15、《国家发展改革委重大固定资产投资项目社会稳定风险评估暂行办法》（发改</w:t>
      </w:r>
      <w:r>
        <w:rPr>
          <w:rFonts w:hint="eastAsia" w:ascii="仿宋_GB2312" w:hAnsi="仿宋_GB2312" w:eastAsia="仿宋_GB2312" w:cs="仿宋_GB2312"/>
          <w:sz w:val="32"/>
          <w:szCs w:val="32"/>
        </w:rPr>
        <w:t>投资</w:t>
      </w:r>
      <w:r>
        <w:rPr>
          <w:rFonts w:hint="eastAsia" w:ascii="仿宋_GB2312" w:hAnsi="仿宋_GB2312" w:eastAsia="仿宋_GB2312" w:cs="仿宋_GB2312"/>
          <w:spacing w:val="-2"/>
          <w:sz w:val="32"/>
          <w:szCs w:val="32"/>
        </w:rPr>
        <w:t>〔2012〕2492号）</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16、《关于积极预防和妥善处置群体性事件的工作意见》（中办发〔2004〕33号）</w:t>
      </w:r>
    </w:p>
    <w:p>
      <w:pPr>
        <w:pStyle w:val="13"/>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eastAsia" w:ascii="仿宋_GB2312" w:hAnsi="仿宋_GB2312" w:eastAsia="仿宋_GB2312" w:cs="仿宋_GB2312"/>
          <w:b/>
          <w:bCs/>
          <w:sz w:val="32"/>
          <w:szCs w:val="32"/>
        </w:rPr>
      </w:pPr>
      <w:bookmarkStart w:id="5" w:name="_bookmark3"/>
      <w:bookmarkEnd w:id="5"/>
      <w:r>
        <w:rPr>
          <w:rFonts w:hint="eastAsia" w:ascii="仿宋_GB2312" w:hAnsi="仿宋_GB2312" w:eastAsia="仿宋_GB2312" w:cs="仿宋_GB2312"/>
          <w:b/>
          <w:bCs/>
          <w:spacing w:val="-4"/>
          <w:sz w:val="32"/>
          <w:szCs w:val="32"/>
          <w:lang w:val="en-US" w:eastAsia="zh-CN"/>
        </w:rPr>
        <w:t xml:space="preserve">1.1.2 </w:t>
      </w:r>
      <w:r>
        <w:rPr>
          <w:rFonts w:hint="eastAsia" w:ascii="仿宋_GB2312" w:hAnsi="仿宋_GB2312" w:eastAsia="仿宋_GB2312" w:cs="仿宋_GB2312"/>
          <w:b/>
          <w:bCs/>
          <w:spacing w:val="-4"/>
          <w:sz w:val="32"/>
          <w:szCs w:val="32"/>
        </w:rPr>
        <w:t>地方性法规及规划</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1、《山东省土地利用总体规划（2006年～2020年）</w:t>
      </w:r>
      <w:r>
        <w:rPr>
          <w:rFonts w:hint="eastAsia" w:ascii="仿宋_GB2312" w:hAnsi="仿宋_GB2312" w:eastAsia="仿宋_GB2312" w:cs="仿宋_GB2312"/>
          <w:spacing w:val="-10"/>
          <w:sz w:val="32"/>
          <w:szCs w:val="32"/>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2、《山东省城乡规划条例》（鲁政发〔2012〕29号）</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3、《山东省突发事件应对条例》（山东省人大常委会公告第120号）</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4、《山东省信访事项复查复核办法》（山东省人民政府令第204号）</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5、《山东省信访条例》（山东省人民代表大会常务委员会公告第105号）</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6、关于印发《山东省生态保护与建设规划（2014-2020年）》的通知（鲁发改农经〔2016〕444号）</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7、《山东省重大行政决策程序规定》（山东省人民政府令第336号）</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8、《中共济南市委关于制定济南市国民经济和社会发展第十四个五年规划和二〇三五年远景目标的建议》（2020年12月15日中国共产党济南市第十一届委员会第十二次全体会议通过）</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bookmarkStart w:id="6" w:name="_bookmark4"/>
      <w:bookmarkEnd w:id="6"/>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技术规范</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1、《国家发展改革委办公厅关于印发重大固定资产投资项目社</w:t>
      </w:r>
      <w:r>
        <w:rPr>
          <w:rFonts w:hint="eastAsia" w:ascii="仿宋_GB2312" w:hAnsi="仿宋_GB2312" w:eastAsia="仿宋_GB2312" w:cs="仿宋_GB2312"/>
          <w:spacing w:val="-4"/>
          <w:sz w:val="32"/>
          <w:szCs w:val="32"/>
        </w:rPr>
        <w:t>会稳定风险分析篇章和评估报告编制大纲（试行）的通知》（发改办</w:t>
      </w:r>
      <w:r>
        <w:rPr>
          <w:rFonts w:hint="eastAsia" w:ascii="仿宋_GB2312" w:hAnsi="仿宋_GB2312" w:eastAsia="仿宋_GB2312" w:cs="仿宋_GB2312"/>
          <w:sz w:val="32"/>
          <w:szCs w:val="32"/>
        </w:rPr>
        <w:t>投资〔2013〕428号）</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pacing w:val="-6"/>
          <w:sz w:val="32"/>
          <w:szCs w:val="32"/>
          <w:lang w:val="en-US" w:eastAsia="zh-CN" w:bidi="ar-SA"/>
        </w:rPr>
      </w:pPr>
      <w:r>
        <w:rPr>
          <w:rFonts w:hint="eastAsia" w:ascii="仿宋_GB2312" w:hAnsi="仿宋_GB2312" w:eastAsia="仿宋_GB2312" w:cs="仿宋_GB2312"/>
          <w:spacing w:val="-2"/>
          <w:sz w:val="32"/>
          <w:szCs w:val="32"/>
        </w:rPr>
        <w:t>2、《山东省发展和改革委员会关于印发山东省发展改革委重大</w:t>
      </w:r>
      <w:r>
        <w:rPr>
          <w:rFonts w:hint="eastAsia" w:ascii="仿宋_GB2312" w:hAnsi="仿宋_GB2312" w:eastAsia="仿宋_GB2312" w:cs="仿宋_GB2312"/>
          <w:spacing w:val="-6"/>
          <w:sz w:val="32"/>
          <w:szCs w:val="32"/>
        </w:rPr>
        <w:t>固定资产投资项目社会稳定风险评估暂行办法的通知》</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4"/>
          <w:sz w:val="32"/>
          <w:szCs w:val="32"/>
        </w:rPr>
        <w:t>鲁发改投</w:t>
      </w:r>
      <w:bookmarkStart w:id="7" w:name="_Toc9966"/>
      <w:r>
        <w:rPr>
          <w:rFonts w:hint="eastAsia" w:ascii="仿宋_GB2312" w:hAnsi="仿宋_GB2312" w:eastAsia="仿宋_GB2312" w:cs="仿宋_GB2312"/>
          <w:spacing w:val="-4"/>
          <w:sz w:val="32"/>
          <w:szCs w:val="32"/>
          <w:lang w:eastAsia="zh-CN"/>
        </w:rPr>
        <w:t>资</w:t>
      </w:r>
      <w:r>
        <w:rPr>
          <w:rFonts w:hint="eastAsia" w:ascii="仿宋_GB2312" w:hAnsi="仿宋_GB2312" w:eastAsia="仿宋_GB2312" w:cs="仿宋_GB2312"/>
          <w:spacing w:val="-6"/>
          <w:sz w:val="32"/>
          <w:szCs w:val="32"/>
          <w:lang w:val="en-US" w:eastAsia="zh-CN" w:bidi="ar-SA"/>
        </w:rPr>
        <w:t>〔2014〕471号）</w:t>
      </w:r>
      <w:bookmarkEnd w:id="7"/>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right="0" w:rightChars="0" w:firstLine="624" w:firstLineChars="200"/>
        <w:jc w:val="both"/>
        <w:textAlignment w:val="auto"/>
        <w:outlineLvl w:val="9"/>
        <w:rPr>
          <w:rFonts w:hint="eastAsia" w:ascii="黑体" w:hAnsi="黑体" w:eastAsia="黑体" w:cs="黑体"/>
          <w:spacing w:val="-4"/>
          <w:sz w:val="32"/>
          <w:szCs w:val="32"/>
          <w:lang w:val="en-US" w:eastAsia="zh-CN"/>
        </w:rPr>
      </w:pPr>
      <w:bookmarkStart w:id="8" w:name="_Toc25389"/>
      <w:r>
        <w:rPr>
          <w:rFonts w:hint="eastAsia" w:ascii="黑体" w:hAnsi="黑体" w:eastAsia="黑体" w:cs="黑体"/>
          <w:spacing w:val="-4"/>
          <w:sz w:val="32"/>
          <w:szCs w:val="32"/>
          <w:lang w:val="en-US" w:eastAsia="zh-CN"/>
        </w:rPr>
        <w:t>1.2 规划概况</w:t>
      </w:r>
      <w:bookmarkEnd w:id="8"/>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1.2.1 </w:t>
      </w:r>
      <w:r>
        <w:rPr>
          <w:rFonts w:hint="eastAsia" w:ascii="仿宋_GB2312" w:hAnsi="仿宋_GB2312" w:eastAsia="仿宋_GB2312" w:cs="仿宋_GB2312"/>
          <w:b/>
          <w:bCs/>
          <w:sz w:val="32"/>
          <w:szCs w:val="32"/>
        </w:rPr>
        <w:t>规划背景</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十三五</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时期是商河县发展进程中极不平凡的五年，农业综合实力、产业高质量发展等方面成效显著，为开启新时代农业现代化强</w:t>
      </w:r>
      <w:r>
        <w:rPr>
          <w:rFonts w:hint="eastAsia" w:ascii="仿宋_GB2312" w:hAnsi="仿宋_GB2312" w:eastAsia="仿宋_GB2312" w:cs="仿宋_GB2312"/>
          <w:spacing w:val="-7"/>
          <w:sz w:val="32"/>
          <w:szCs w:val="32"/>
        </w:rPr>
        <w:t>县建设新征程奠定了坚实基础。</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十四五</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时期是我国全面建成小康</w:t>
      </w:r>
      <w:r>
        <w:rPr>
          <w:rFonts w:hint="eastAsia" w:ascii="仿宋_GB2312" w:hAnsi="仿宋_GB2312" w:eastAsia="仿宋_GB2312" w:cs="仿宋_GB2312"/>
          <w:spacing w:val="-4"/>
          <w:sz w:val="32"/>
          <w:szCs w:val="32"/>
        </w:rPr>
        <w:t>社会、实现第一个百年奋斗目标之后，乘势而上开启全面建设社会主义现代化国家新征程、向第二个百年奋斗目标进军的第一个五年，也</w:t>
      </w:r>
      <w:r>
        <w:rPr>
          <w:rFonts w:hint="eastAsia" w:ascii="仿宋_GB2312" w:hAnsi="仿宋_GB2312" w:eastAsia="仿宋_GB2312" w:cs="仿宋_GB2312"/>
          <w:spacing w:val="-1"/>
          <w:sz w:val="32"/>
          <w:szCs w:val="32"/>
        </w:rPr>
        <w:t>是商河在新的起点上深入落实黄河流域生态保护和高质量发展战略</w:t>
      </w:r>
      <w:r>
        <w:rPr>
          <w:rFonts w:hint="eastAsia" w:ascii="仿宋_GB2312" w:hAnsi="仿宋_GB2312" w:eastAsia="仿宋_GB2312" w:cs="仿宋_GB2312"/>
          <w:spacing w:val="-4"/>
          <w:sz w:val="32"/>
          <w:szCs w:val="32"/>
        </w:rPr>
        <w:t>（简称</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黄河战略</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），加快建设</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生态商河</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极为关键的五年。这</w:t>
      </w:r>
      <w:r>
        <w:rPr>
          <w:rFonts w:hint="eastAsia" w:ascii="仿宋_GB2312" w:hAnsi="仿宋_GB2312" w:eastAsia="仿宋_GB2312" w:cs="仿宋_GB2312"/>
          <w:spacing w:val="-6"/>
          <w:sz w:val="32"/>
          <w:szCs w:val="32"/>
        </w:rPr>
        <w:t>一时期也是商河推进农业高质量发展与科技创新、推动农业绿色发展</w:t>
      </w:r>
      <w:r>
        <w:rPr>
          <w:rFonts w:hint="eastAsia" w:ascii="仿宋_GB2312" w:hAnsi="仿宋_GB2312" w:eastAsia="仿宋_GB2312" w:cs="仿宋_GB2312"/>
          <w:spacing w:val="-4"/>
          <w:sz w:val="32"/>
          <w:szCs w:val="32"/>
        </w:rPr>
        <w:t>与产业融合、促进乡村振兴战略加快实施的重要阶段。科学编制</w:t>
      </w:r>
      <w:r>
        <w:rPr>
          <w:rFonts w:hint="eastAsia" w:ascii="仿宋_GB2312" w:hAnsi="仿宋_GB2312" w:eastAsia="仿宋_GB2312" w:cs="仿宋_GB2312"/>
          <w:spacing w:val="-4"/>
          <w:sz w:val="32"/>
          <w:szCs w:val="32"/>
          <w:lang w:eastAsia="zh-CN"/>
        </w:rPr>
        <w:t>花卉产业“</w:t>
      </w:r>
      <w:r>
        <w:rPr>
          <w:rFonts w:hint="eastAsia" w:ascii="仿宋_GB2312" w:hAnsi="仿宋_GB2312" w:eastAsia="仿宋_GB2312" w:cs="仿宋_GB2312"/>
          <w:spacing w:val="-4"/>
          <w:sz w:val="32"/>
          <w:szCs w:val="32"/>
        </w:rPr>
        <w:t>十四五</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发展规划是实现商河农业发展方式转变，实现全</w:t>
      </w:r>
      <w:r>
        <w:rPr>
          <w:rFonts w:hint="eastAsia" w:ascii="仿宋_GB2312" w:hAnsi="仿宋_GB2312" w:eastAsia="仿宋_GB2312" w:cs="仿宋_GB2312"/>
          <w:spacing w:val="-2"/>
          <w:sz w:val="32"/>
          <w:szCs w:val="32"/>
        </w:rPr>
        <w:t>面建设社会主义现代化国家战略性举措。</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pacing w:val="-10"/>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月，商河县人民政府委托</w:t>
      </w:r>
      <w:r>
        <w:rPr>
          <w:rFonts w:hint="eastAsia" w:ascii="仿宋_GB2312" w:hAnsi="仿宋_GB2312" w:eastAsia="仿宋_GB2312" w:cs="仿宋_GB2312"/>
          <w:color w:val="auto"/>
          <w:sz w:val="32"/>
          <w:szCs w:val="32"/>
          <w:lang w:eastAsia="zh-CN"/>
        </w:rPr>
        <w:t>山东农业大学</w:t>
      </w:r>
      <w:r>
        <w:rPr>
          <w:rFonts w:hint="eastAsia" w:ascii="仿宋_GB2312" w:hAnsi="仿宋_GB2312" w:eastAsia="仿宋_GB2312" w:cs="仿宋_GB2312"/>
          <w:color w:val="auto"/>
          <w:spacing w:val="-2"/>
          <w:sz w:val="32"/>
          <w:szCs w:val="32"/>
        </w:rPr>
        <w:t>，组织相关专家开展《商河县</w:t>
      </w:r>
      <w:r>
        <w:rPr>
          <w:rFonts w:hint="eastAsia" w:ascii="仿宋_GB2312" w:hAnsi="仿宋_GB2312" w:eastAsia="仿宋_GB2312" w:cs="仿宋_GB2312"/>
          <w:color w:val="auto"/>
          <w:spacing w:val="-2"/>
          <w:sz w:val="32"/>
          <w:szCs w:val="32"/>
          <w:lang w:eastAsia="zh-CN"/>
        </w:rPr>
        <w:t>花卉产业“十四五”</w:t>
      </w:r>
      <w:r>
        <w:rPr>
          <w:rFonts w:hint="eastAsia" w:ascii="仿宋_GB2312" w:hAnsi="仿宋_GB2312" w:eastAsia="仿宋_GB2312" w:cs="仿宋_GB2312"/>
          <w:color w:val="auto"/>
          <w:spacing w:val="-2"/>
          <w:sz w:val="32"/>
          <w:szCs w:val="32"/>
        </w:rPr>
        <w:t>发展规划》编制工作，重点围绕全局性、前瞻性、关键性重大战略问题和突出短板，深入开展调查研究，综合分析论证和形势研判，就</w:t>
      </w:r>
      <w:r>
        <w:rPr>
          <w:rFonts w:hint="eastAsia" w:ascii="仿宋_GB2312" w:hAnsi="仿宋_GB2312" w:eastAsia="仿宋_GB2312" w:cs="仿宋_GB2312"/>
          <w:color w:val="auto"/>
          <w:spacing w:val="-2"/>
          <w:sz w:val="32"/>
          <w:szCs w:val="32"/>
          <w:lang w:eastAsia="zh-CN"/>
        </w:rPr>
        <w:t>产业规模、产业主题、产业平台、产业加工文旅、产业人才</w:t>
      </w:r>
      <w:r>
        <w:rPr>
          <w:rFonts w:hint="eastAsia" w:ascii="仿宋_GB2312" w:hAnsi="仿宋_GB2312" w:eastAsia="仿宋_GB2312" w:cs="仿宋_GB2312"/>
          <w:color w:val="auto"/>
          <w:spacing w:val="-2"/>
          <w:sz w:val="32"/>
          <w:szCs w:val="32"/>
        </w:rPr>
        <w:t>等方面</w:t>
      </w:r>
      <w:r>
        <w:rPr>
          <w:rFonts w:hint="eastAsia" w:ascii="仿宋_GB2312" w:hAnsi="仿宋_GB2312" w:eastAsia="仿宋_GB2312" w:cs="仿宋_GB2312"/>
          <w:color w:val="auto"/>
          <w:spacing w:val="-2"/>
          <w:sz w:val="32"/>
          <w:szCs w:val="32"/>
          <w:lang w:val="en-US" w:eastAsia="zh-CN"/>
        </w:rPr>
        <w:t>，研究提出“十四五”时期农业农村发展重大项目、重大工程以及重点任务、发展目标</w:t>
      </w:r>
      <w:r>
        <w:rPr>
          <w:rFonts w:hint="eastAsia" w:ascii="仿宋_GB2312" w:hAnsi="仿宋_GB2312" w:eastAsia="仿宋_GB2312" w:cs="仿宋_GB2312"/>
          <w:color w:val="auto"/>
          <w:spacing w:val="-2"/>
          <w:sz w:val="32"/>
          <w:szCs w:val="32"/>
        </w:rPr>
        <w:t>，这不仅为</w:t>
      </w:r>
      <w:r>
        <w:rPr>
          <w:rFonts w:hint="eastAsia" w:ascii="仿宋_GB2312" w:hAnsi="仿宋_GB2312" w:eastAsia="仿宋_GB2312" w:cs="仿宋_GB2312"/>
          <w:color w:val="auto"/>
          <w:spacing w:val="-2"/>
          <w:sz w:val="32"/>
          <w:szCs w:val="32"/>
          <w:lang w:eastAsia="zh-CN"/>
        </w:rPr>
        <w:t>商河县花卉产业</w:t>
      </w:r>
      <w:r>
        <w:rPr>
          <w:rFonts w:hint="eastAsia" w:ascii="仿宋_GB2312" w:hAnsi="仿宋_GB2312" w:eastAsia="仿宋_GB2312" w:cs="仿宋_GB2312"/>
          <w:color w:val="auto"/>
          <w:spacing w:val="-7"/>
          <w:sz w:val="32"/>
          <w:szCs w:val="32"/>
        </w:rPr>
        <w:t>高质量发展指明前进方向，也为商河推进实施乡村振</w:t>
      </w:r>
      <w:r>
        <w:rPr>
          <w:rFonts w:hint="eastAsia" w:ascii="仿宋_GB2312" w:hAnsi="仿宋_GB2312" w:eastAsia="仿宋_GB2312" w:cs="仿宋_GB2312"/>
          <w:color w:val="auto"/>
          <w:spacing w:val="-2"/>
          <w:sz w:val="32"/>
          <w:szCs w:val="32"/>
        </w:rPr>
        <w:t>兴战略提供行动纲领。</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1.2.2 </w:t>
      </w:r>
      <w:r>
        <w:rPr>
          <w:rFonts w:hint="eastAsia" w:ascii="仿宋_GB2312" w:hAnsi="仿宋_GB2312" w:eastAsia="仿宋_GB2312" w:cs="仿宋_GB2312"/>
          <w:b/>
          <w:bCs/>
          <w:sz w:val="32"/>
          <w:szCs w:val="32"/>
        </w:rPr>
        <w:t>发展基础</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0" w:firstLineChars="200"/>
        <w:jc w:val="both"/>
        <w:textAlignment w:val="auto"/>
        <w:outlineLvl w:val="9"/>
        <w:rPr>
          <w:rFonts w:hint="eastAsia" w:ascii="仿宋_GB2312" w:hAnsi="仿宋_GB2312" w:eastAsia="仿宋_GB2312" w:cs="仿宋_GB2312"/>
          <w:color w:val="000007"/>
          <w:spacing w:val="-5"/>
          <w:sz w:val="32"/>
          <w:szCs w:val="32"/>
        </w:rPr>
      </w:pPr>
      <w:r>
        <w:rPr>
          <w:rFonts w:hint="eastAsia" w:ascii="仿宋_GB2312" w:hAnsi="仿宋_GB2312" w:eastAsia="仿宋_GB2312" w:cs="仿宋_GB2312"/>
          <w:color w:val="000007"/>
          <w:spacing w:val="-5"/>
          <w:sz w:val="32"/>
          <w:szCs w:val="32"/>
          <w:lang w:val="en-US" w:eastAsia="zh-CN"/>
        </w:rPr>
        <w:t>1、</w:t>
      </w:r>
      <w:r>
        <w:rPr>
          <w:rFonts w:hint="eastAsia" w:ascii="仿宋_GB2312" w:hAnsi="仿宋_GB2312" w:eastAsia="仿宋_GB2312" w:cs="仿宋_GB2312"/>
          <w:color w:val="000007"/>
          <w:spacing w:val="-5"/>
          <w:sz w:val="32"/>
          <w:szCs w:val="32"/>
        </w:rPr>
        <w:t>产业规模稳步增加</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z w:val="32"/>
          <w:szCs w:val="32"/>
        </w:rPr>
        <w:t>2021年底全县花卉设施面积扩增至130</w:t>
      </w:r>
      <w:r>
        <w:rPr>
          <w:rFonts w:hint="eastAsia" w:ascii="仿宋_GB2312" w:hAnsi="仿宋_GB2312" w:eastAsia="仿宋_GB2312" w:cs="仿宋_GB2312"/>
          <w:color w:val="000007"/>
          <w:spacing w:val="1"/>
          <w:sz w:val="32"/>
          <w:szCs w:val="32"/>
        </w:rPr>
        <w:t>万平方米，其</w:t>
      </w:r>
      <w:r>
        <w:rPr>
          <w:rFonts w:hint="eastAsia" w:ascii="仿宋_GB2312" w:hAnsi="仿宋_GB2312" w:eastAsia="仿宋_GB2312" w:cs="仿宋_GB2312"/>
          <w:color w:val="000007"/>
          <w:spacing w:val="-4"/>
          <w:sz w:val="32"/>
          <w:szCs w:val="32"/>
        </w:rPr>
        <w:t>中室内盆花设施达</w:t>
      </w:r>
      <w:r>
        <w:rPr>
          <w:rFonts w:hint="eastAsia" w:ascii="仿宋_GB2312" w:hAnsi="仿宋_GB2312" w:eastAsia="仿宋_GB2312" w:cs="仿宋_GB2312"/>
          <w:color w:val="000007"/>
          <w:sz w:val="32"/>
          <w:szCs w:val="32"/>
        </w:rPr>
        <w:t>110</w:t>
      </w:r>
      <w:r>
        <w:rPr>
          <w:rFonts w:hint="eastAsia" w:ascii="仿宋_GB2312" w:hAnsi="仿宋_GB2312" w:eastAsia="仿宋_GB2312" w:cs="仿宋_GB2312"/>
          <w:color w:val="000007"/>
          <w:spacing w:val="-1"/>
          <w:sz w:val="32"/>
          <w:szCs w:val="32"/>
        </w:rPr>
        <w:t>万平方米。高档盆年产能达</w:t>
      </w:r>
      <w:r>
        <w:rPr>
          <w:rFonts w:hint="eastAsia" w:ascii="仿宋_GB2312" w:hAnsi="仿宋_GB2312" w:eastAsia="仿宋_GB2312" w:cs="仿宋_GB2312"/>
          <w:color w:val="000007"/>
          <w:sz w:val="32"/>
          <w:szCs w:val="32"/>
        </w:rPr>
        <w:t>3000万</w:t>
      </w:r>
      <w:r>
        <w:rPr>
          <w:rFonts w:hint="eastAsia" w:ascii="仿宋_GB2312" w:hAnsi="仿宋_GB2312" w:eastAsia="仿宋_GB2312" w:cs="仿宋_GB2312"/>
          <w:color w:val="000007"/>
          <w:spacing w:val="-4"/>
          <w:sz w:val="32"/>
          <w:szCs w:val="32"/>
        </w:rPr>
        <w:t>盆，草花年产能达</w:t>
      </w:r>
      <w:r>
        <w:rPr>
          <w:rFonts w:hint="eastAsia" w:ascii="仿宋_GB2312" w:hAnsi="仿宋_GB2312" w:eastAsia="仿宋_GB2312" w:cs="仿宋_GB2312"/>
          <w:color w:val="000007"/>
          <w:sz w:val="32"/>
          <w:szCs w:val="32"/>
        </w:rPr>
        <w:t>2000</w:t>
      </w:r>
      <w:r>
        <w:rPr>
          <w:rFonts w:hint="eastAsia" w:ascii="仿宋_GB2312" w:hAnsi="仿宋_GB2312" w:eastAsia="仿宋_GB2312" w:cs="仿宋_GB2312"/>
          <w:color w:val="000007"/>
          <w:spacing w:val="-7"/>
          <w:sz w:val="32"/>
          <w:szCs w:val="32"/>
        </w:rPr>
        <w:t>万盆，鲜切花</w:t>
      </w:r>
      <w:r>
        <w:rPr>
          <w:rFonts w:hint="eastAsia" w:ascii="仿宋_GB2312" w:hAnsi="仿宋_GB2312" w:eastAsia="仿宋_GB2312" w:cs="仿宋_GB2312"/>
          <w:color w:val="000007"/>
          <w:sz w:val="32"/>
          <w:szCs w:val="32"/>
        </w:rPr>
        <w:t>700</w:t>
      </w:r>
      <w:r>
        <w:rPr>
          <w:rFonts w:hint="eastAsia" w:ascii="仿宋_GB2312" w:hAnsi="仿宋_GB2312" w:eastAsia="仿宋_GB2312" w:cs="仿宋_GB2312"/>
          <w:color w:val="000007"/>
          <w:spacing w:val="6"/>
          <w:sz w:val="32"/>
          <w:szCs w:val="32"/>
        </w:rPr>
        <w:t>万株。盆花生产</w:t>
      </w:r>
      <w:r>
        <w:rPr>
          <w:rFonts w:hint="eastAsia" w:ascii="仿宋_GB2312" w:hAnsi="仿宋_GB2312" w:eastAsia="仿宋_GB2312" w:cs="仿宋_GB2312"/>
          <w:color w:val="000007"/>
          <w:spacing w:val="-13"/>
          <w:sz w:val="32"/>
          <w:szCs w:val="32"/>
        </w:rPr>
        <w:t>经营主体</w:t>
      </w:r>
      <w:r>
        <w:rPr>
          <w:rFonts w:hint="eastAsia" w:ascii="仿宋_GB2312" w:hAnsi="仿宋_GB2312" w:eastAsia="仿宋_GB2312" w:cs="仿宋_GB2312"/>
          <w:color w:val="000007"/>
          <w:sz w:val="32"/>
          <w:szCs w:val="32"/>
        </w:rPr>
        <w:t>10</w:t>
      </w:r>
      <w:r>
        <w:rPr>
          <w:rFonts w:hint="eastAsia" w:ascii="仿宋_GB2312" w:hAnsi="仿宋_GB2312" w:eastAsia="仿宋_GB2312" w:cs="仿宋_GB2312"/>
          <w:color w:val="000007"/>
          <w:spacing w:val="-3"/>
          <w:sz w:val="32"/>
          <w:szCs w:val="32"/>
        </w:rPr>
        <w:t>家，草花生产经营主体</w:t>
      </w:r>
      <w:r>
        <w:rPr>
          <w:rFonts w:hint="eastAsia" w:ascii="仿宋_GB2312" w:hAnsi="仿宋_GB2312" w:eastAsia="仿宋_GB2312" w:cs="仿宋_GB2312"/>
          <w:color w:val="000007"/>
          <w:sz w:val="32"/>
          <w:szCs w:val="32"/>
        </w:rPr>
        <w:t>7</w:t>
      </w:r>
      <w:r>
        <w:rPr>
          <w:rFonts w:hint="eastAsia" w:ascii="仿宋_GB2312" w:hAnsi="仿宋_GB2312" w:eastAsia="仿宋_GB2312" w:cs="仿宋_GB2312"/>
          <w:color w:val="000007"/>
          <w:spacing w:val="5"/>
          <w:sz w:val="32"/>
          <w:szCs w:val="32"/>
        </w:rPr>
        <w:t>家，鲜切花生产经营</w:t>
      </w:r>
      <w:r>
        <w:rPr>
          <w:rFonts w:hint="eastAsia" w:ascii="仿宋_GB2312" w:hAnsi="仿宋_GB2312" w:eastAsia="仿宋_GB2312" w:cs="仿宋_GB2312"/>
          <w:color w:val="000007"/>
          <w:sz w:val="32"/>
          <w:szCs w:val="32"/>
        </w:rPr>
        <w:t>主体3家，种苗生产企业6家。</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0" w:firstLineChars="200"/>
        <w:jc w:val="both"/>
        <w:textAlignment w:val="auto"/>
        <w:outlineLvl w:val="9"/>
        <w:rPr>
          <w:rFonts w:hint="eastAsia" w:ascii="仿宋_GB2312" w:hAnsi="仿宋_GB2312" w:eastAsia="仿宋_GB2312" w:cs="仿宋_GB2312"/>
          <w:color w:val="000007"/>
          <w:spacing w:val="-5"/>
          <w:sz w:val="32"/>
          <w:szCs w:val="32"/>
        </w:rPr>
      </w:pPr>
      <w:r>
        <w:rPr>
          <w:rFonts w:hint="eastAsia" w:ascii="仿宋_GB2312" w:hAnsi="仿宋_GB2312" w:eastAsia="仿宋_GB2312" w:cs="仿宋_GB2312"/>
          <w:color w:val="000007"/>
          <w:spacing w:val="-5"/>
          <w:sz w:val="32"/>
          <w:szCs w:val="32"/>
          <w:lang w:val="en-US" w:eastAsia="zh-CN"/>
        </w:rPr>
        <w:t>2、</w:t>
      </w:r>
      <w:r>
        <w:rPr>
          <w:rFonts w:hint="eastAsia" w:ascii="仿宋_GB2312" w:hAnsi="仿宋_GB2312" w:eastAsia="仿宋_GB2312" w:cs="仿宋_GB2312"/>
          <w:color w:val="000007"/>
          <w:spacing w:val="-5"/>
          <w:sz w:val="32"/>
          <w:szCs w:val="32"/>
        </w:rPr>
        <w:t>花卉产品日益丰富</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pacing w:val="-3"/>
          <w:sz w:val="32"/>
          <w:szCs w:val="32"/>
        </w:rPr>
        <w:t>花卉产品由以盆花生产为主，发展为盆花、切花、芳香</w:t>
      </w:r>
      <w:r>
        <w:rPr>
          <w:rFonts w:hint="eastAsia" w:ascii="仿宋_GB2312" w:hAnsi="仿宋_GB2312" w:eastAsia="仿宋_GB2312" w:cs="仿宋_GB2312"/>
          <w:color w:val="000007"/>
          <w:spacing w:val="-5"/>
          <w:sz w:val="32"/>
          <w:szCs w:val="32"/>
        </w:rPr>
        <w:t>植物、种苗等多产业类型；花卉种类由红掌、蝴蝶兰等大宗</w:t>
      </w:r>
      <w:r>
        <w:rPr>
          <w:rFonts w:hint="eastAsia" w:ascii="仿宋_GB2312" w:hAnsi="仿宋_GB2312" w:eastAsia="仿宋_GB2312" w:cs="仿宋_GB2312"/>
          <w:color w:val="000007"/>
          <w:spacing w:val="-5"/>
          <w:w w:val="95"/>
          <w:sz w:val="32"/>
          <w:szCs w:val="32"/>
        </w:rPr>
        <w:t>产品发展到红玉珠、秋菊、绣球、木槿、竹芋、海棠等多品</w:t>
      </w:r>
      <w:r>
        <w:rPr>
          <w:rFonts w:hint="eastAsia" w:ascii="仿宋_GB2312" w:hAnsi="仿宋_GB2312" w:eastAsia="仿宋_GB2312" w:cs="仿宋_GB2312"/>
          <w:color w:val="000007"/>
          <w:spacing w:val="-9"/>
          <w:sz w:val="32"/>
          <w:szCs w:val="32"/>
        </w:rPr>
        <w:t>类，花卉品种也由原来几十个发展到目前</w:t>
      </w:r>
      <w:r>
        <w:rPr>
          <w:rFonts w:hint="eastAsia" w:ascii="仿宋_GB2312" w:hAnsi="仿宋_GB2312" w:eastAsia="仿宋_GB2312" w:cs="仿宋_GB2312"/>
          <w:color w:val="000007"/>
          <w:sz w:val="32"/>
          <w:szCs w:val="32"/>
        </w:rPr>
        <w:t>300多个。</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0" w:firstLineChars="200"/>
        <w:jc w:val="both"/>
        <w:textAlignment w:val="auto"/>
        <w:outlineLvl w:val="9"/>
        <w:rPr>
          <w:rFonts w:hint="eastAsia" w:ascii="仿宋_GB2312" w:hAnsi="仿宋_GB2312" w:eastAsia="仿宋_GB2312" w:cs="仿宋_GB2312"/>
          <w:color w:val="000007"/>
          <w:spacing w:val="-5"/>
          <w:sz w:val="32"/>
          <w:szCs w:val="32"/>
        </w:rPr>
      </w:pPr>
      <w:r>
        <w:rPr>
          <w:rFonts w:hint="eastAsia" w:ascii="仿宋_GB2312" w:hAnsi="仿宋_GB2312" w:eastAsia="仿宋_GB2312" w:cs="仿宋_GB2312"/>
          <w:color w:val="000007"/>
          <w:spacing w:val="-5"/>
          <w:sz w:val="32"/>
          <w:szCs w:val="32"/>
          <w:lang w:val="en-US" w:eastAsia="zh-CN"/>
        </w:rPr>
        <w:t>3、</w:t>
      </w:r>
      <w:r>
        <w:rPr>
          <w:rFonts w:hint="eastAsia" w:ascii="仿宋_GB2312" w:hAnsi="仿宋_GB2312" w:eastAsia="仿宋_GB2312" w:cs="仿宋_GB2312"/>
          <w:color w:val="000007"/>
          <w:spacing w:val="-5"/>
          <w:sz w:val="32"/>
          <w:szCs w:val="32"/>
        </w:rPr>
        <w:t>龙头企业发展迅猛</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pacing w:val="-2"/>
          <w:sz w:val="32"/>
          <w:szCs w:val="32"/>
        </w:rPr>
        <w:t>随着产业集聚效应的形成，筑巢引凤工程初见成效。花</w:t>
      </w:r>
      <w:r>
        <w:rPr>
          <w:rFonts w:hint="eastAsia" w:ascii="仿宋_GB2312" w:hAnsi="仿宋_GB2312" w:eastAsia="仿宋_GB2312" w:cs="仿宋_GB2312"/>
          <w:color w:val="000007"/>
          <w:spacing w:val="-4"/>
          <w:sz w:val="32"/>
          <w:szCs w:val="32"/>
        </w:rPr>
        <w:t>卉企业数量及规模日渐壮大。一是花卉生产企业由原先的乡</w:t>
      </w:r>
      <w:r>
        <w:rPr>
          <w:rFonts w:hint="eastAsia" w:ascii="仿宋_GB2312" w:hAnsi="仿宋_GB2312" w:eastAsia="仿宋_GB2312" w:cs="仿宋_GB2312"/>
          <w:color w:val="000007"/>
          <w:spacing w:val="-14"/>
          <w:w w:val="95"/>
          <w:sz w:val="32"/>
          <w:szCs w:val="32"/>
        </w:rPr>
        <w:t>村绿洲一枝独秀到目前的山东环美、济南大益、济南彩冰花、</w:t>
      </w:r>
      <w:r>
        <w:rPr>
          <w:rFonts w:hint="eastAsia" w:ascii="仿宋_GB2312" w:hAnsi="仿宋_GB2312" w:eastAsia="仿宋_GB2312" w:cs="仿宋_GB2312"/>
          <w:color w:val="000007"/>
          <w:spacing w:val="-1"/>
          <w:sz w:val="32"/>
          <w:szCs w:val="32"/>
        </w:rPr>
        <w:t>山东鑫和、鼎沣园艺、鑫鑫田园、水梦缘等</w:t>
      </w:r>
      <w:r>
        <w:rPr>
          <w:rFonts w:hint="eastAsia" w:ascii="仿宋_GB2312" w:hAnsi="仿宋_GB2312" w:eastAsia="仿宋_GB2312" w:cs="仿宋_GB2312"/>
          <w:color w:val="000007"/>
          <w:sz w:val="32"/>
          <w:szCs w:val="32"/>
        </w:rPr>
        <w:t>10</w:t>
      </w:r>
      <w:r>
        <w:rPr>
          <w:rFonts w:hint="eastAsia" w:ascii="仿宋_GB2312" w:hAnsi="仿宋_GB2312" w:eastAsia="仿宋_GB2312" w:cs="仿宋_GB2312"/>
          <w:color w:val="000007"/>
          <w:spacing w:val="4"/>
          <w:sz w:val="32"/>
          <w:szCs w:val="32"/>
        </w:rPr>
        <w:t>多家企业争</w:t>
      </w:r>
      <w:r>
        <w:rPr>
          <w:rFonts w:hint="eastAsia" w:ascii="仿宋_GB2312" w:hAnsi="仿宋_GB2312" w:eastAsia="仿宋_GB2312" w:cs="仿宋_GB2312"/>
          <w:color w:val="000007"/>
          <w:spacing w:val="-5"/>
          <w:sz w:val="32"/>
          <w:szCs w:val="32"/>
        </w:rPr>
        <w:t>奇斗艳，年产值达</w:t>
      </w:r>
      <w:r>
        <w:rPr>
          <w:rFonts w:hint="eastAsia" w:ascii="仿宋_GB2312" w:hAnsi="仿宋_GB2312" w:eastAsia="仿宋_GB2312" w:cs="仿宋_GB2312"/>
          <w:color w:val="000007"/>
          <w:sz w:val="32"/>
          <w:szCs w:val="32"/>
        </w:rPr>
        <w:t>10</w:t>
      </w:r>
      <w:r>
        <w:rPr>
          <w:rFonts w:hint="eastAsia" w:ascii="仿宋_GB2312" w:hAnsi="仿宋_GB2312" w:eastAsia="仿宋_GB2312" w:cs="仿宋_GB2312"/>
          <w:color w:val="000007"/>
          <w:spacing w:val="4"/>
          <w:sz w:val="32"/>
          <w:szCs w:val="32"/>
        </w:rPr>
        <w:t>亿余元。二是企业形成集聚及差异化发展。重点产业分布区位于许商街道、贾庄、玉皇庙等镇，</w:t>
      </w:r>
      <w:r>
        <w:rPr>
          <w:rFonts w:hint="eastAsia" w:ascii="仿宋_GB2312" w:hAnsi="仿宋_GB2312" w:eastAsia="仿宋_GB2312" w:cs="仿宋_GB2312"/>
          <w:color w:val="000007"/>
          <w:w w:val="95"/>
          <w:sz w:val="32"/>
          <w:szCs w:val="32"/>
        </w:rPr>
        <w:t>其中国家农业科技园区和贾庄镇突出高端盆花生产，玉皇庙、</w:t>
      </w:r>
      <w:r>
        <w:rPr>
          <w:rFonts w:hint="eastAsia" w:ascii="仿宋_GB2312" w:hAnsi="仿宋_GB2312" w:eastAsia="仿宋_GB2312" w:cs="仿宋_GB2312"/>
          <w:color w:val="000007"/>
          <w:spacing w:val="-2"/>
          <w:sz w:val="32"/>
          <w:szCs w:val="32"/>
        </w:rPr>
        <w:t>许商等街镇突出节庆时令花卉，殷巷、沙河等街镇突出食用</w:t>
      </w:r>
      <w:r>
        <w:rPr>
          <w:rFonts w:hint="eastAsia" w:ascii="仿宋_GB2312" w:hAnsi="仿宋_GB2312" w:eastAsia="仿宋_GB2312" w:cs="仿宋_GB2312"/>
          <w:color w:val="000007"/>
          <w:sz w:val="32"/>
          <w:szCs w:val="32"/>
        </w:rPr>
        <w:t>药用花卉，特色花卉产业格局初步形成</w:t>
      </w:r>
      <w:r>
        <w:rPr>
          <w:rFonts w:hint="eastAsia" w:ascii="仿宋_GB2312" w:hAnsi="仿宋_GB2312" w:eastAsia="仿宋_GB2312" w:cs="仿宋_GB2312"/>
          <w:color w:val="000007"/>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0" w:firstLineChars="200"/>
        <w:jc w:val="both"/>
        <w:textAlignment w:val="auto"/>
        <w:outlineLvl w:val="9"/>
        <w:rPr>
          <w:rFonts w:hint="eastAsia" w:ascii="仿宋_GB2312" w:hAnsi="仿宋_GB2312" w:eastAsia="仿宋_GB2312" w:cs="仿宋_GB2312"/>
          <w:color w:val="000007"/>
          <w:spacing w:val="-5"/>
          <w:sz w:val="32"/>
          <w:szCs w:val="32"/>
        </w:rPr>
      </w:pPr>
      <w:r>
        <w:rPr>
          <w:rFonts w:hint="eastAsia" w:ascii="仿宋_GB2312" w:hAnsi="仿宋_GB2312" w:eastAsia="仿宋_GB2312" w:cs="仿宋_GB2312"/>
          <w:color w:val="000007"/>
          <w:spacing w:val="-5"/>
          <w:sz w:val="32"/>
          <w:szCs w:val="32"/>
          <w:lang w:val="en-US" w:eastAsia="zh-CN"/>
        </w:rPr>
        <w:t>4、</w:t>
      </w:r>
      <w:r>
        <w:rPr>
          <w:rFonts w:hint="eastAsia" w:ascii="仿宋_GB2312" w:hAnsi="仿宋_GB2312" w:eastAsia="仿宋_GB2312" w:cs="仿宋_GB2312"/>
          <w:color w:val="000007"/>
          <w:spacing w:val="-5"/>
          <w:sz w:val="32"/>
          <w:szCs w:val="32"/>
        </w:rPr>
        <w:t>产品影响不断增强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温泉花卉”品牌取得良好效果，连续6年举办省市花博会，鼓励在商企业参加全国花博会、世博会，山东环美、乡村绿洲、彩冰花园艺等多家企业培育的花卉产品多次荣获特等奖、金奖等重大奖项，商河花卉影响力不断提高，产品竞争力不断增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0" w:firstLineChars="200"/>
        <w:jc w:val="both"/>
        <w:textAlignment w:val="auto"/>
        <w:outlineLvl w:val="9"/>
        <w:rPr>
          <w:rFonts w:hint="eastAsia" w:ascii="仿宋_GB2312" w:hAnsi="仿宋_GB2312" w:eastAsia="仿宋_GB2312" w:cs="仿宋_GB2312"/>
          <w:color w:val="000007"/>
          <w:spacing w:val="-5"/>
          <w:sz w:val="32"/>
          <w:szCs w:val="32"/>
        </w:rPr>
      </w:pPr>
      <w:r>
        <w:rPr>
          <w:rFonts w:hint="eastAsia" w:ascii="仿宋_GB2312" w:hAnsi="仿宋_GB2312" w:eastAsia="仿宋_GB2312" w:cs="仿宋_GB2312"/>
          <w:color w:val="000007"/>
          <w:spacing w:val="-5"/>
          <w:sz w:val="32"/>
          <w:szCs w:val="32"/>
          <w:lang w:val="en-US" w:eastAsia="zh-CN"/>
        </w:rPr>
        <w:t>5、</w:t>
      </w:r>
      <w:r>
        <w:rPr>
          <w:rFonts w:hint="eastAsia" w:ascii="仿宋_GB2312" w:hAnsi="仿宋_GB2312" w:eastAsia="仿宋_GB2312" w:cs="仿宋_GB2312"/>
          <w:color w:val="000007"/>
          <w:spacing w:val="-5"/>
          <w:sz w:val="32"/>
          <w:szCs w:val="32"/>
        </w:rPr>
        <w:t>科技支撑不断强化</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color w:val="000007"/>
          <w:spacing w:val="-5"/>
          <w:sz w:val="32"/>
          <w:szCs w:val="32"/>
        </w:rPr>
      </w:pPr>
      <w:r>
        <w:rPr>
          <w:rFonts w:hint="eastAsia" w:ascii="仿宋_GB2312" w:hAnsi="仿宋_GB2312" w:eastAsia="仿宋_GB2312" w:cs="仿宋_GB2312"/>
          <w:color w:val="000007"/>
          <w:spacing w:val="-2"/>
          <w:sz w:val="32"/>
          <w:szCs w:val="32"/>
        </w:rPr>
        <w:t>组建济南市花卉产业研究院，针对花卉企业生产技术方</w:t>
      </w:r>
      <w:r>
        <w:rPr>
          <w:rFonts w:hint="eastAsia" w:ascii="仿宋_GB2312" w:hAnsi="仿宋_GB2312" w:eastAsia="仿宋_GB2312" w:cs="仿宋_GB2312"/>
          <w:color w:val="000007"/>
          <w:spacing w:val="-4"/>
          <w:sz w:val="32"/>
          <w:szCs w:val="32"/>
        </w:rPr>
        <w:t>面的难点入手，促进花卉产业技术创新升级。支持企业科技</w:t>
      </w:r>
      <w:r>
        <w:rPr>
          <w:rFonts w:hint="eastAsia" w:ascii="仿宋_GB2312" w:hAnsi="仿宋_GB2312" w:eastAsia="仿宋_GB2312" w:cs="仿宋_GB2312"/>
          <w:color w:val="000007"/>
          <w:spacing w:val="-14"/>
          <w:sz w:val="32"/>
          <w:szCs w:val="32"/>
        </w:rPr>
        <w:t>支撑发展，培植种苗组培企业</w:t>
      </w:r>
      <w:r>
        <w:rPr>
          <w:rFonts w:hint="eastAsia" w:ascii="仿宋_GB2312" w:hAnsi="仿宋_GB2312" w:eastAsia="仿宋_GB2312" w:cs="仿宋_GB2312"/>
          <w:color w:val="000007"/>
          <w:sz w:val="32"/>
          <w:szCs w:val="32"/>
        </w:rPr>
        <w:t>2</w:t>
      </w:r>
      <w:r>
        <w:rPr>
          <w:rFonts w:hint="eastAsia" w:ascii="仿宋_GB2312" w:hAnsi="仿宋_GB2312" w:eastAsia="仿宋_GB2312" w:cs="仿宋_GB2312"/>
          <w:color w:val="000007"/>
          <w:spacing w:val="-39"/>
          <w:sz w:val="32"/>
          <w:szCs w:val="32"/>
        </w:rPr>
        <w:t>家</w:t>
      </w:r>
      <w:r>
        <w:rPr>
          <w:rFonts w:hint="eastAsia" w:ascii="仿宋_GB2312" w:hAnsi="仿宋_GB2312" w:eastAsia="仿宋_GB2312" w:cs="仿宋_GB2312"/>
          <w:color w:val="000007"/>
          <w:sz w:val="32"/>
          <w:szCs w:val="32"/>
        </w:rPr>
        <w:t>（</w:t>
      </w:r>
      <w:r>
        <w:rPr>
          <w:rFonts w:hint="eastAsia" w:ascii="仿宋_GB2312" w:hAnsi="仿宋_GB2312" w:eastAsia="仿宋_GB2312" w:cs="仿宋_GB2312"/>
          <w:color w:val="000007"/>
          <w:spacing w:val="-6"/>
          <w:sz w:val="32"/>
          <w:szCs w:val="32"/>
        </w:rPr>
        <w:t>乡村绿洲、脸花科技</w:t>
      </w:r>
      <w:r>
        <w:rPr>
          <w:rFonts w:hint="eastAsia" w:ascii="仿宋_GB2312" w:hAnsi="仿宋_GB2312" w:eastAsia="仿宋_GB2312" w:cs="仿宋_GB2312"/>
          <w:color w:val="000007"/>
          <w:spacing w:val="-20"/>
          <w:sz w:val="32"/>
          <w:szCs w:val="32"/>
        </w:rPr>
        <w:t>），</w:t>
      </w:r>
      <w:r>
        <w:rPr>
          <w:rFonts w:hint="eastAsia" w:ascii="仿宋_GB2312" w:hAnsi="仿宋_GB2312" w:eastAsia="仿宋_GB2312" w:cs="仿宋_GB2312"/>
          <w:color w:val="000007"/>
          <w:spacing w:val="-13"/>
          <w:sz w:val="32"/>
          <w:szCs w:val="32"/>
        </w:rPr>
        <w:t>种苗繁育企业</w:t>
      </w:r>
      <w:r>
        <w:rPr>
          <w:rFonts w:hint="eastAsia" w:ascii="仿宋_GB2312" w:hAnsi="仿宋_GB2312" w:eastAsia="仿宋_GB2312" w:cs="仿宋_GB2312"/>
          <w:color w:val="000007"/>
          <w:sz w:val="32"/>
          <w:szCs w:val="32"/>
        </w:rPr>
        <w:t>4家（济南大益、济南彩冰花、山东舜芝兰、山东益商源</w:t>
      </w:r>
      <w:r>
        <w:rPr>
          <w:rFonts w:hint="eastAsia" w:ascii="仿宋_GB2312" w:hAnsi="仿宋_GB2312" w:eastAsia="仿宋_GB2312" w:cs="仿宋_GB2312"/>
          <w:color w:val="000007"/>
          <w:spacing w:val="-7"/>
          <w:sz w:val="32"/>
          <w:szCs w:val="32"/>
        </w:rPr>
        <w:t>）；</w:t>
      </w:r>
      <w:r>
        <w:rPr>
          <w:rFonts w:hint="eastAsia" w:ascii="仿宋_GB2312" w:hAnsi="仿宋_GB2312" w:eastAsia="仿宋_GB2312" w:cs="仿宋_GB2312"/>
          <w:color w:val="000007"/>
          <w:sz w:val="32"/>
          <w:szCs w:val="32"/>
        </w:rPr>
        <w:t>支持建设种苗繁育示范中心进行草本花卉种</w:t>
      </w:r>
      <w:r>
        <w:rPr>
          <w:rFonts w:hint="eastAsia" w:ascii="仿宋_GB2312" w:hAnsi="仿宋_GB2312" w:eastAsia="仿宋_GB2312" w:cs="仿宋_GB2312"/>
          <w:color w:val="000007"/>
          <w:spacing w:val="-1"/>
          <w:sz w:val="32"/>
          <w:szCs w:val="32"/>
        </w:rPr>
        <w:t>苗繁育及绿色高效生产技术研究，建立起全县节庆时令花卉</w:t>
      </w:r>
      <w:r>
        <w:rPr>
          <w:rFonts w:hint="eastAsia" w:ascii="仿宋_GB2312" w:hAnsi="仿宋_GB2312" w:eastAsia="仿宋_GB2312" w:cs="仿宋_GB2312"/>
          <w:color w:val="000007"/>
          <w:spacing w:val="-3"/>
          <w:sz w:val="32"/>
          <w:szCs w:val="32"/>
          <w:lang w:eastAsia="zh-CN"/>
        </w:rPr>
        <w:t>“</w:t>
      </w:r>
      <w:r>
        <w:rPr>
          <w:rFonts w:hint="eastAsia" w:ascii="仿宋_GB2312" w:hAnsi="仿宋_GB2312" w:eastAsia="仿宋_GB2312" w:cs="仿宋_GB2312"/>
          <w:color w:val="000007"/>
          <w:spacing w:val="-3"/>
          <w:sz w:val="32"/>
          <w:szCs w:val="32"/>
        </w:rPr>
        <w:t>统一种苗采购供应、统一安排订单任务、统一花卉供应服</w:t>
      </w:r>
      <w:r>
        <w:rPr>
          <w:rFonts w:hint="eastAsia" w:ascii="仿宋_GB2312" w:hAnsi="仿宋_GB2312" w:eastAsia="仿宋_GB2312" w:cs="仿宋_GB2312"/>
          <w:color w:val="000007"/>
          <w:spacing w:val="-4"/>
          <w:sz w:val="32"/>
          <w:szCs w:val="32"/>
        </w:rPr>
        <w:t>务</w:t>
      </w:r>
      <w:r>
        <w:rPr>
          <w:rFonts w:hint="eastAsia" w:ascii="仿宋_GB2312" w:hAnsi="仿宋_GB2312" w:eastAsia="仿宋_GB2312" w:cs="仿宋_GB2312"/>
          <w:color w:val="000007"/>
          <w:spacing w:val="-4"/>
          <w:sz w:val="32"/>
          <w:szCs w:val="32"/>
          <w:lang w:eastAsia="zh-CN"/>
        </w:rPr>
        <w:t>”</w:t>
      </w:r>
      <w:r>
        <w:rPr>
          <w:rFonts w:hint="eastAsia" w:ascii="仿宋_GB2312" w:hAnsi="仿宋_GB2312" w:eastAsia="仿宋_GB2312" w:cs="仿宋_GB2312"/>
          <w:color w:val="000007"/>
          <w:spacing w:val="-4"/>
          <w:sz w:val="32"/>
          <w:szCs w:val="32"/>
        </w:rPr>
        <w:t>的供应机制，突出商河花卉高品低价优势，为鲜花生产基地提供更好的品种和技术支持。</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0" w:firstLineChars="200"/>
        <w:jc w:val="both"/>
        <w:textAlignment w:val="auto"/>
        <w:outlineLvl w:val="9"/>
        <w:rPr>
          <w:rFonts w:hint="eastAsia" w:ascii="仿宋_GB2312" w:hAnsi="仿宋_GB2312" w:eastAsia="仿宋_GB2312" w:cs="仿宋_GB2312"/>
          <w:color w:val="000007"/>
          <w:spacing w:val="-5"/>
          <w:sz w:val="32"/>
          <w:szCs w:val="32"/>
        </w:rPr>
      </w:pPr>
      <w:r>
        <w:rPr>
          <w:rFonts w:hint="eastAsia" w:ascii="仿宋_GB2312" w:hAnsi="仿宋_GB2312" w:eastAsia="仿宋_GB2312" w:cs="仿宋_GB2312"/>
          <w:color w:val="000007"/>
          <w:spacing w:val="-5"/>
          <w:sz w:val="32"/>
          <w:szCs w:val="32"/>
          <w:lang w:val="en-US" w:eastAsia="zh-CN"/>
        </w:rPr>
        <w:t>6、</w:t>
      </w:r>
      <w:r>
        <w:rPr>
          <w:rFonts w:hint="eastAsia" w:ascii="仿宋_GB2312" w:hAnsi="仿宋_GB2312" w:eastAsia="仿宋_GB2312" w:cs="仿宋_GB2312"/>
          <w:color w:val="000007"/>
          <w:spacing w:val="-5"/>
          <w:sz w:val="32"/>
          <w:szCs w:val="32"/>
        </w:rPr>
        <w:t>园区发展成效显著</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pacing w:val="-2"/>
          <w:sz w:val="32"/>
          <w:szCs w:val="32"/>
        </w:rPr>
        <w:t>坚持亮点打造和规模扩张并重，建成海峡两岸温泉花卉</w:t>
      </w:r>
      <w:r>
        <w:rPr>
          <w:rFonts w:hint="eastAsia" w:ascii="仿宋_GB2312" w:hAnsi="仿宋_GB2312" w:eastAsia="仿宋_GB2312" w:cs="仿宋_GB2312"/>
          <w:color w:val="000007"/>
          <w:spacing w:val="-4"/>
          <w:w w:val="95"/>
          <w:sz w:val="32"/>
          <w:szCs w:val="32"/>
        </w:rPr>
        <w:t>创新园、温泉花卉孵化基地、温泉花卉谷等精品园区。形成</w:t>
      </w:r>
      <w:r>
        <w:rPr>
          <w:rFonts w:hint="eastAsia" w:ascii="仿宋_GB2312" w:hAnsi="仿宋_GB2312" w:eastAsia="仿宋_GB2312" w:cs="仿宋_GB2312"/>
          <w:color w:val="000007"/>
          <w:spacing w:val="-5"/>
          <w:w w:val="95"/>
          <w:sz w:val="32"/>
          <w:szCs w:val="32"/>
        </w:rPr>
        <w:t>了以农业科技示范园区为核心，玉皇庙、贾庄、许商等精品</w:t>
      </w:r>
      <w:r>
        <w:rPr>
          <w:rFonts w:hint="eastAsia" w:ascii="仿宋_GB2312" w:hAnsi="仿宋_GB2312" w:eastAsia="仿宋_GB2312" w:cs="仿宋_GB2312"/>
          <w:color w:val="000007"/>
          <w:spacing w:val="-5"/>
          <w:sz w:val="32"/>
          <w:szCs w:val="32"/>
        </w:rPr>
        <w:t>园区为产业集聚的发展格局。</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0" w:firstLineChars="200"/>
        <w:jc w:val="both"/>
        <w:textAlignment w:val="auto"/>
        <w:outlineLvl w:val="9"/>
        <w:rPr>
          <w:rFonts w:hint="eastAsia" w:ascii="仿宋_GB2312" w:hAnsi="仿宋_GB2312" w:eastAsia="仿宋_GB2312" w:cs="仿宋_GB2312"/>
          <w:color w:val="000007"/>
          <w:spacing w:val="-5"/>
          <w:sz w:val="32"/>
          <w:szCs w:val="32"/>
        </w:rPr>
      </w:pPr>
      <w:r>
        <w:rPr>
          <w:rFonts w:hint="eastAsia" w:ascii="仿宋_GB2312" w:hAnsi="仿宋_GB2312" w:eastAsia="仿宋_GB2312" w:cs="仿宋_GB2312"/>
          <w:color w:val="000007"/>
          <w:spacing w:val="-5"/>
          <w:sz w:val="32"/>
          <w:szCs w:val="32"/>
          <w:lang w:val="en-US" w:eastAsia="zh-CN"/>
        </w:rPr>
        <w:t>7、</w:t>
      </w:r>
      <w:r>
        <w:rPr>
          <w:rFonts w:hint="eastAsia" w:ascii="仿宋_GB2312" w:hAnsi="仿宋_GB2312" w:eastAsia="仿宋_GB2312" w:cs="仿宋_GB2312"/>
          <w:color w:val="000007"/>
          <w:spacing w:val="-5"/>
          <w:sz w:val="32"/>
          <w:szCs w:val="32"/>
        </w:rPr>
        <w:t>模式创新取得突破</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color w:val="000007"/>
          <w:sz w:val="32"/>
          <w:szCs w:val="32"/>
        </w:rPr>
      </w:pPr>
      <w:r>
        <w:rPr>
          <w:rFonts w:hint="eastAsia" w:ascii="仿宋_GB2312" w:hAnsi="仿宋_GB2312" w:eastAsia="仿宋_GB2312" w:cs="仿宋_GB2312"/>
          <w:color w:val="000007"/>
          <w:spacing w:val="-2"/>
          <w:sz w:val="32"/>
          <w:szCs w:val="32"/>
        </w:rPr>
        <w:t>一是大力培育花卉生产主体，成功引进济南大益、山东</w:t>
      </w:r>
      <w:r>
        <w:rPr>
          <w:rFonts w:hint="eastAsia" w:ascii="仿宋_GB2312" w:hAnsi="仿宋_GB2312" w:eastAsia="仿宋_GB2312" w:cs="仿宋_GB2312"/>
          <w:color w:val="000007"/>
          <w:spacing w:val="-4"/>
          <w:sz w:val="32"/>
          <w:szCs w:val="32"/>
        </w:rPr>
        <w:t>环美、济南彩冰花、山东鑫和、山东益商源等花卉名企，培</w:t>
      </w:r>
      <w:r>
        <w:rPr>
          <w:rFonts w:hint="eastAsia" w:ascii="仿宋_GB2312" w:hAnsi="仿宋_GB2312" w:eastAsia="仿宋_GB2312" w:cs="仿宋_GB2312"/>
          <w:color w:val="000007"/>
          <w:spacing w:val="-5"/>
          <w:sz w:val="32"/>
          <w:szCs w:val="32"/>
        </w:rPr>
        <w:t>育玉沣园艺、鑫鑫田园、新大自然、众源合作社、纳斯达等</w:t>
      </w:r>
      <w:r>
        <w:rPr>
          <w:rFonts w:hint="eastAsia" w:ascii="仿宋_GB2312" w:hAnsi="仿宋_GB2312" w:eastAsia="仿宋_GB2312" w:cs="仿宋_GB2312"/>
          <w:color w:val="000007"/>
          <w:spacing w:val="-6"/>
          <w:sz w:val="32"/>
          <w:szCs w:val="32"/>
        </w:rPr>
        <w:t>花卉新型经营主体。二是创新利益分享机制，探索产业推广</w:t>
      </w:r>
      <w:r>
        <w:rPr>
          <w:rFonts w:hint="eastAsia" w:ascii="仿宋_GB2312" w:hAnsi="仿宋_GB2312" w:eastAsia="仿宋_GB2312" w:cs="仿宋_GB2312"/>
          <w:color w:val="000007"/>
          <w:spacing w:val="-5"/>
          <w:sz w:val="32"/>
          <w:szCs w:val="32"/>
        </w:rPr>
        <w:t>模式，依托乡村绿洲省级花卉农业产业化龙头企业打造产业</w:t>
      </w:r>
      <w:r>
        <w:rPr>
          <w:rFonts w:hint="eastAsia" w:ascii="仿宋_GB2312" w:hAnsi="仿宋_GB2312" w:eastAsia="仿宋_GB2312" w:cs="仿宋_GB2312"/>
          <w:color w:val="000007"/>
          <w:spacing w:val="-3"/>
          <w:sz w:val="32"/>
          <w:szCs w:val="32"/>
        </w:rPr>
        <w:t>联合体，带动小农户参与花卉产业，总结创新了花卉生产的</w:t>
      </w:r>
      <w:r>
        <w:rPr>
          <w:rFonts w:hint="eastAsia" w:ascii="仿宋_GB2312" w:hAnsi="仿宋_GB2312" w:eastAsia="仿宋_GB2312" w:cs="仿宋_GB2312"/>
          <w:color w:val="000007"/>
          <w:spacing w:val="-22"/>
          <w:sz w:val="32"/>
          <w:szCs w:val="32"/>
          <w:lang w:eastAsia="zh-CN"/>
        </w:rPr>
        <w:t>“</w:t>
      </w:r>
      <w:r>
        <w:rPr>
          <w:rFonts w:hint="eastAsia" w:ascii="仿宋_GB2312" w:hAnsi="仿宋_GB2312" w:eastAsia="仿宋_GB2312" w:cs="仿宋_GB2312"/>
          <w:color w:val="000007"/>
          <w:spacing w:val="-22"/>
          <w:sz w:val="32"/>
          <w:szCs w:val="32"/>
        </w:rPr>
        <w:t>贾洼模式</w:t>
      </w:r>
      <w:r>
        <w:rPr>
          <w:rFonts w:hint="eastAsia" w:ascii="仿宋_GB2312" w:hAnsi="仿宋_GB2312" w:eastAsia="仿宋_GB2312" w:cs="仿宋_GB2312"/>
          <w:color w:val="000007"/>
          <w:spacing w:val="-22"/>
          <w:sz w:val="32"/>
          <w:szCs w:val="32"/>
          <w:lang w:eastAsia="zh-CN"/>
        </w:rPr>
        <w:t>”</w:t>
      </w:r>
      <w:r>
        <w:rPr>
          <w:rFonts w:hint="eastAsia" w:ascii="仿宋_GB2312" w:hAnsi="仿宋_GB2312" w:eastAsia="仿宋_GB2312" w:cs="仿宋_GB2312"/>
          <w:color w:val="000007"/>
          <w:spacing w:val="-22"/>
          <w:sz w:val="32"/>
          <w:szCs w:val="32"/>
        </w:rPr>
        <w:t>，依托彩冰花园艺和鑫鑫田园，总结创新了</w:t>
      </w:r>
      <w:r>
        <w:rPr>
          <w:rFonts w:hint="eastAsia" w:ascii="仿宋_GB2312" w:hAnsi="仿宋_GB2312" w:eastAsia="仿宋_GB2312" w:cs="仿宋_GB2312"/>
          <w:color w:val="000007"/>
          <w:spacing w:val="-22"/>
          <w:sz w:val="32"/>
          <w:szCs w:val="32"/>
          <w:lang w:eastAsia="zh-CN"/>
        </w:rPr>
        <w:t>“</w:t>
      </w:r>
      <w:r>
        <w:rPr>
          <w:rFonts w:hint="eastAsia" w:ascii="仿宋_GB2312" w:hAnsi="仿宋_GB2312" w:eastAsia="仿宋_GB2312" w:cs="仿宋_GB2312"/>
          <w:color w:val="000007"/>
          <w:spacing w:val="-22"/>
          <w:sz w:val="32"/>
          <w:szCs w:val="32"/>
        </w:rPr>
        <w:t>企</w:t>
      </w:r>
      <w:r>
        <w:rPr>
          <w:rFonts w:hint="eastAsia" w:ascii="仿宋_GB2312" w:hAnsi="仿宋_GB2312" w:eastAsia="仿宋_GB2312" w:cs="仿宋_GB2312"/>
          <w:color w:val="000007"/>
          <w:spacing w:val="5"/>
          <w:w w:val="95"/>
          <w:sz w:val="32"/>
          <w:szCs w:val="32"/>
        </w:rPr>
        <w:t>业</w:t>
      </w:r>
      <w:r>
        <w:rPr>
          <w:rFonts w:hint="eastAsia" w:ascii="仿宋_GB2312" w:hAnsi="仿宋_GB2312" w:eastAsia="仿宋_GB2312" w:cs="仿宋_GB2312"/>
          <w:color w:val="000007"/>
          <w:spacing w:val="4"/>
          <w:w w:val="95"/>
          <w:sz w:val="32"/>
          <w:szCs w:val="32"/>
        </w:rPr>
        <w:t>+园区</w:t>
      </w:r>
      <w:r>
        <w:rPr>
          <w:rFonts w:hint="eastAsia" w:ascii="仿宋_GB2312" w:hAnsi="仿宋_GB2312" w:eastAsia="仿宋_GB2312" w:cs="仿宋_GB2312"/>
          <w:color w:val="000007"/>
          <w:spacing w:val="4"/>
          <w:w w:val="95"/>
          <w:sz w:val="32"/>
          <w:szCs w:val="32"/>
          <w:lang w:eastAsia="zh-CN"/>
        </w:rPr>
        <w:t>”</w:t>
      </w:r>
      <w:r>
        <w:rPr>
          <w:rFonts w:hint="eastAsia" w:ascii="仿宋_GB2312" w:hAnsi="仿宋_GB2312" w:eastAsia="仿宋_GB2312" w:cs="仿宋_GB2312"/>
          <w:color w:val="000007"/>
          <w:spacing w:val="4"/>
          <w:w w:val="95"/>
          <w:sz w:val="32"/>
          <w:szCs w:val="32"/>
        </w:rPr>
        <w:t>花卉发展模式。依托新型农民培训等项目，开展</w:t>
      </w:r>
      <w:r>
        <w:rPr>
          <w:rFonts w:hint="eastAsia" w:ascii="仿宋_GB2312" w:hAnsi="仿宋_GB2312" w:eastAsia="仿宋_GB2312" w:cs="仿宋_GB2312"/>
          <w:color w:val="000007"/>
          <w:spacing w:val="-6"/>
          <w:sz w:val="32"/>
          <w:szCs w:val="32"/>
        </w:rPr>
        <w:t>花卉生产技术培训，累计培训</w:t>
      </w:r>
      <w:r>
        <w:rPr>
          <w:rFonts w:hint="eastAsia" w:ascii="仿宋_GB2312" w:hAnsi="仿宋_GB2312" w:eastAsia="仿宋_GB2312" w:cs="仿宋_GB2312"/>
          <w:color w:val="000007"/>
          <w:sz w:val="32"/>
          <w:szCs w:val="32"/>
        </w:rPr>
        <w:t>1200余人次。</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1.2.3 </w:t>
      </w:r>
      <w:r>
        <w:rPr>
          <w:rFonts w:hint="eastAsia" w:ascii="仿宋_GB2312" w:hAnsi="仿宋_GB2312" w:eastAsia="仿宋_GB2312" w:cs="仿宋_GB2312"/>
          <w:b/>
          <w:bCs/>
          <w:sz w:val="32"/>
          <w:szCs w:val="32"/>
          <w:lang w:eastAsia="zh-CN"/>
        </w:rPr>
        <w:t>规划总则</w:t>
      </w:r>
    </w:p>
    <w:p>
      <w:pPr>
        <w:pStyle w:val="13"/>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1、总体思想</w:t>
      </w:r>
    </w:p>
    <w:p>
      <w:pPr>
        <w:pStyle w:val="13"/>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决落实习近平总书记对新时代山东工作的总要求以及对乡村振兴战略的重要指示，在推动黄河流域生态保护和高质量发展上承载大格局，奋力走在前。以做大做优花卉产业发展现代高效农业为目标，以一二三产业融合发展为路径，以质量兴农、绿色兴农、科技兴农、品牌兴农为抓手，以推动花卉产业高质量发展为主题，明确设施花卉、高端盆花为主导，多业态多途径共进的发展方向，坚持多措并举，打造商河花卉产业集群，坚持产业赋能，实现花卉产业振兴发展。</w:t>
      </w:r>
    </w:p>
    <w:p>
      <w:pPr>
        <w:pStyle w:val="13"/>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紧紧围绕“温泉花乡，生态商河”的发展定位，持续提升商河花卉产业的发展优势，构建新时期现代农业产业体系、生产体系、经营体系；积极拓展商河花卉产业功能，优化产业发展布局，扎实推进花卉产业的供给侧改革，延伸产业链条，促进产业深度融合，推动花卉产业高质高效绿色发展。把商河县花卉产业打造成中国北方温泉花卉硅谷，打造成黄河中下游花卉产业高质量发展先行区、北方设施花卉生产集群区，打造成高品质花卉会展经济融合示范区，打造成农商互联花卉智慧化产业中枢，打造成产城融合、康养生态主题农旅休闲生态高地。</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0" w:firstLineChars="200"/>
        <w:jc w:val="both"/>
        <w:textAlignment w:val="auto"/>
        <w:outlineLvl w:val="9"/>
        <w:rPr>
          <w:rFonts w:hint="eastAsia" w:ascii="仿宋_GB2312" w:hAnsi="仿宋_GB2312" w:eastAsia="仿宋_GB2312" w:cs="仿宋_GB2312"/>
          <w:b w:val="0"/>
          <w:bCs w:val="0"/>
          <w:color w:val="000007"/>
          <w:spacing w:val="-2"/>
          <w:w w:val="95"/>
          <w:sz w:val="32"/>
          <w:szCs w:val="32"/>
          <w:lang w:eastAsia="zh-CN"/>
        </w:rPr>
      </w:pPr>
      <w:r>
        <w:rPr>
          <w:rFonts w:hint="eastAsia" w:ascii="仿宋_GB2312" w:hAnsi="仿宋_GB2312" w:eastAsia="仿宋_GB2312" w:cs="仿宋_GB2312"/>
          <w:b w:val="0"/>
          <w:bCs w:val="0"/>
          <w:color w:val="000007"/>
          <w:spacing w:val="-2"/>
          <w:w w:val="95"/>
          <w:sz w:val="32"/>
          <w:szCs w:val="32"/>
          <w:lang w:val="en-US" w:eastAsia="zh-CN"/>
        </w:rPr>
        <w:t>2、</w:t>
      </w:r>
      <w:r>
        <w:rPr>
          <w:rFonts w:hint="eastAsia" w:ascii="仿宋_GB2312" w:hAnsi="仿宋_GB2312" w:eastAsia="仿宋_GB2312" w:cs="仿宋_GB2312"/>
          <w:b w:val="0"/>
          <w:bCs w:val="0"/>
          <w:color w:val="000007"/>
          <w:spacing w:val="-2"/>
          <w:w w:val="95"/>
          <w:sz w:val="32"/>
          <w:szCs w:val="32"/>
          <w:lang w:eastAsia="zh-CN"/>
        </w:rPr>
        <w:t>规划原则</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pacing w:val="-2"/>
          <w:w w:val="95"/>
          <w:sz w:val="32"/>
          <w:szCs w:val="32"/>
        </w:rPr>
        <w:t>坚持市场导向和政府引导相结合。以市场为导向，充分</w:t>
      </w:r>
      <w:r>
        <w:rPr>
          <w:rFonts w:hint="eastAsia" w:ascii="仿宋_GB2312" w:hAnsi="仿宋_GB2312" w:eastAsia="仿宋_GB2312" w:cs="仿宋_GB2312"/>
          <w:color w:val="000007"/>
          <w:spacing w:val="-3"/>
          <w:sz w:val="32"/>
          <w:szCs w:val="32"/>
        </w:rPr>
        <w:t>发挥市场在资源配置中的基础性作用，加强政府宏观引导和</w:t>
      </w:r>
      <w:r>
        <w:rPr>
          <w:rFonts w:hint="eastAsia" w:ascii="仿宋_GB2312" w:hAnsi="仿宋_GB2312" w:eastAsia="仿宋_GB2312" w:cs="仿宋_GB2312"/>
          <w:color w:val="000007"/>
          <w:spacing w:val="-5"/>
          <w:sz w:val="32"/>
          <w:szCs w:val="32"/>
        </w:rPr>
        <w:t>调控，加大扶持力度，优化区域布局，调整产业结构，规范市场秩序。</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pacing w:val="-1"/>
          <w:w w:val="95"/>
          <w:sz w:val="32"/>
          <w:szCs w:val="32"/>
        </w:rPr>
        <w:t>坚持适度规模与提质增效相结合。保持适度的种植规模，</w:t>
      </w:r>
      <w:r>
        <w:rPr>
          <w:rFonts w:hint="eastAsia" w:ascii="仿宋_GB2312" w:hAnsi="仿宋_GB2312" w:eastAsia="仿宋_GB2312" w:cs="仿宋_GB2312"/>
          <w:color w:val="000007"/>
          <w:spacing w:val="-3"/>
          <w:sz w:val="32"/>
          <w:szCs w:val="32"/>
        </w:rPr>
        <w:t>以提质增效为目标，努力转变产业发展方式，由数量扩张型向质量效益型转变。</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9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pacing w:val="-3"/>
          <w:w w:val="95"/>
          <w:sz w:val="32"/>
          <w:szCs w:val="32"/>
        </w:rPr>
        <w:t>坚持科教兴花、自主创新。依靠科技进步，重视人才培</w:t>
      </w:r>
      <w:r>
        <w:rPr>
          <w:rFonts w:hint="eastAsia" w:ascii="仿宋_GB2312" w:hAnsi="仿宋_GB2312" w:eastAsia="仿宋_GB2312" w:cs="仿宋_GB2312"/>
          <w:color w:val="000007"/>
          <w:spacing w:val="-3"/>
          <w:sz w:val="32"/>
          <w:szCs w:val="32"/>
        </w:rPr>
        <w:t>养，加强品种创新和技术创新，提高产业核心竞争力。</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z w:val="32"/>
          <w:szCs w:val="32"/>
        </w:rPr>
        <w:t>坚持合理布局、优化结构。因地制宜，优化区域布局</w:t>
      </w:r>
      <w:r>
        <w:rPr>
          <w:rFonts w:hint="eastAsia" w:ascii="仿宋_GB2312" w:hAnsi="仿宋_GB2312" w:eastAsia="仿宋_GB2312" w:cs="仿宋_GB2312"/>
          <w:color w:val="000007"/>
          <w:sz w:val="32"/>
          <w:szCs w:val="32"/>
          <w:lang w:eastAsia="zh-CN"/>
        </w:rPr>
        <w:t>，</w:t>
      </w:r>
      <w:r>
        <w:rPr>
          <w:rFonts w:hint="eastAsia" w:ascii="仿宋_GB2312" w:hAnsi="仿宋_GB2312" w:eastAsia="仿宋_GB2312" w:cs="仿宋_GB2312"/>
          <w:color w:val="000007"/>
          <w:spacing w:val="-2"/>
          <w:sz w:val="32"/>
          <w:szCs w:val="32"/>
        </w:rPr>
        <w:t>加快产业集聚，结合城市群发展和新农村建设，形成和巩固</w:t>
      </w:r>
      <w:r>
        <w:rPr>
          <w:rFonts w:hint="eastAsia" w:ascii="仿宋_GB2312" w:hAnsi="仿宋_GB2312" w:eastAsia="仿宋_GB2312" w:cs="仿宋_GB2312"/>
          <w:color w:val="000007"/>
          <w:spacing w:val="-14"/>
          <w:w w:val="95"/>
          <w:sz w:val="32"/>
          <w:szCs w:val="32"/>
        </w:rPr>
        <w:t>高效花卉产业带、产业园和产业集群，延长产业链，实现一、</w:t>
      </w:r>
      <w:r>
        <w:rPr>
          <w:rFonts w:hint="eastAsia" w:ascii="仿宋_GB2312" w:hAnsi="仿宋_GB2312" w:eastAsia="仿宋_GB2312" w:cs="仿宋_GB2312"/>
          <w:color w:val="000007"/>
          <w:spacing w:val="-14"/>
          <w:sz w:val="32"/>
          <w:szCs w:val="32"/>
        </w:rPr>
        <w:t>二、三产业联动，提高产品附加值。</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pacing w:val="-3"/>
          <w:sz w:val="32"/>
          <w:szCs w:val="32"/>
        </w:rPr>
        <w:t>坚持立足内需、扩大外销。立足国内市场，积极引导消</w:t>
      </w:r>
      <w:r>
        <w:rPr>
          <w:rFonts w:hint="eastAsia" w:ascii="仿宋_GB2312" w:hAnsi="仿宋_GB2312" w:eastAsia="仿宋_GB2312" w:cs="仿宋_GB2312"/>
          <w:color w:val="000007"/>
          <w:spacing w:val="-4"/>
          <w:sz w:val="32"/>
          <w:szCs w:val="32"/>
        </w:rPr>
        <w:t>费，不断扩大内需。发挥比较优势，发展特色花卉，开拓新兴市场，提高国际市场份额。</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z w:val="32"/>
          <w:szCs w:val="32"/>
        </w:rPr>
        <w:t>坚持经济效益、社会效益和生态效益兼顾。发挥花卉产业优势，增加经济效益，实现兴花富民；发挥花文化优势，促进社会和谐；发挥绿色和美化优势，改善人居环境，提高人民生活质量。</w:t>
      </w:r>
    </w:p>
    <w:p>
      <w:pPr>
        <w:pStyle w:val="13"/>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3、发展定位</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color w:val="000007"/>
          <w:sz w:val="32"/>
          <w:szCs w:val="32"/>
        </w:rPr>
      </w:pPr>
      <w:r>
        <w:rPr>
          <w:rFonts w:hint="eastAsia" w:ascii="仿宋_GB2312" w:hAnsi="仿宋_GB2312" w:eastAsia="仿宋_GB2312" w:cs="仿宋_GB2312"/>
          <w:color w:val="000007"/>
          <w:sz w:val="32"/>
          <w:szCs w:val="32"/>
        </w:rPr>
        <w:t>（一）总体定位</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pacing w:val="-1"/>
          <w:sz w:val="32"/>
          <w:szCs w:val="32"/>
        </w:rPr>
        <w:t>以商河县国家农业科技园区为产业发展核心，立足省会</w:t>
      </w:r>
      <w:r>
        <w:rPr>
          <w:rFonts w:hint="eastAsia" w:ascii="仿宋_GB2312" w:hAnsi="仿宋_GB2312" w:eastAsia="仿宋_GB2312" w:cs="仿宋_GB2312"/>
          <w:color w:val="000007"/>
          <w:spacing w:val="-2"/>
          <w:sz w:val="32"/>
          <w:szCs w:val="32"/>
        </w:rPr>
        <w:t>生态经济圈与京津冀桥头堡区位资源，充分利用商河地热资</w:t>
      </w:r>
      <w:r>
        <w:rPr>
          <w:rFonts w:hint="eastAsia" w:ascii="仿宋_GB2312" w:hAnsi="仿宋_GB2312" w:eastAsia="仿宋_GB2312" w:cs="仿宋_GB2312"/>
          <w:color w:val="000007"/>
          <w:spacing w:val="-3"/>
          <w:sz w:val="32"/>
          <w:szCs w:val="32"/>
        </w:rPr>
        <w:t>源和花卉产业发展优势，按照</w:t>
      </w:r>
      <w:r>
        <w:rPr>
          <w:rFonts w:hint="eastAsia" w:ascii="仿宋_GB2312" w:hAnsi="仿宋_GB2312" w:eastAsia="仿宋_GB2312" w:cs="仿宋_GB2312"/>
          <w:color w:val="000007"/>
          <w:spacing w:val="-3"/>
          <w:sz w:val="32"/>
          <w:szCs w:val="32"/>
          <w:lang w:eastAsia="zh-CN"/>
        </w:rPr>
        <w:t>“</w:t>
      </w:r>
      <w:r>
        <w:rPr>
          <w:rFonts w:hint="eastAsia" w:ascii="仿宋_GB2312" w:hAnsi="仿宋_GB2312" w:eastAsia="仿宋_GB2312" w:cs="仿宋_GB2312"/>
          <w:color w:val="000007"/>
          <w:spacing w:val="-3"/>
          <w:sz w:val="32"/>
          <w:szCs w:val="32"/>
        </w:rPr>
        <w:t>做强产业、做优品质、做响</w:t>
      </w:r>
      <w:r>
        <w:rPr>
          <w:rFonts w:hint="eastAsia" w:ascii="仿宋_GB2312" w:hAnsi="仿宋_GB2312" w:eastAsia="仿宋_GB2312" w:cs="仿宋_GB2312"/>
          <w:color w:val="000007"/>
          <w:spacing w:val="-5"/>
          <w:sz w:val="32"/>
          <w:szCs w:val="32"/>
        </w:rPr>
        <w:t>品牌</w:t>
      </w:r>
      <w:r>
        <w:rPr>
          <w:rFonts w:hint="eastAsia" w:ascii="仿宋_GB2312" w:hAnsi="仿宋_GB2312" w:eastAsia="仿宋_GB2312" w:cs="仿宋_GB2312"/>
          <w:color w:val="000007"/>
          <w:spacing w:val="-5"/>
          <w:sz w:val="32"/>
          <w:szCs w:val="32"/>
          <w:lang w:eastAsia="zh-CN"/>
        </w:rPr>
        <w:t>”</w:t>
      </w:r>
      <w:r>
        <w:rPr>
          <w:rFonts w:hint="eastAsia" w:ascii="仿宋_GB2312" w:hAnsi="仿宋_GB2312" w:eastAsia="仿宋_GB2312" w:cs="仿宋_GB2312"/>
          <w:color w:val="000007"/>
          <w:spacing w:val="-5"/>
          <w:sz w:val="32"/>
          <w:szCs w:val="32"/>
        </w:rPr>
        <w:t>的总体思路，优化产业发展布局，以高端盆花设施基地为产业主导，以花卉产业孵化、科技创新研发、花卉市场</w:t>
      </w:r>
      <w:r>
        <w:rPr>
          <w:rFonts w:hint="eastAsia" w:ascii="仿宋_GB2312" w:hAnsi="仿宋_GB2312" w:eastAsia="仿宋_GB2312" w:cs="仿宋_GB2312"/>
          <w:color w:val="000007"/>
          <w:spacing w:val="-6"/>
          <w:sz w:val="32"/>
          <w:szCs w:val="32"/>
        </w:rPr>
        <w:t>新业态培育为内生动力，在红掌优势产业发展、花卉种苗产业体系建设、在切花产业集聚发展上</w:t>
      </w:r>
      <w:r>
        <w:rPr>
          <w:rFonts w:hint="eastAsia" w:ascii="仿宋_GB2312" w:hAnsi="仿宋_GB2312" w:eastAsia="仿宋_GB2312" w:cs="仿宋_GB2312"/>
          <w:color w:val="000007"/>
          <w:spacing w:val="-6"/>
          <w:sz w:val="32"/>
          <w:szCs w:val="32"/>
          <w:lang w:eastAsia="zh-CN"/>
        </w:rPr>
        <w:t>“</w:t>
      </w:r>
      <w:r>
        <w:rPr>
          <w:rFonts w:hint="eastAsia" w:ascii="仿宋_GB2312" w:hAnsi="仿宋_GB2312" w:eastAsia="仿宋_GB2312" w:cs="仿宋_GB2312"/>
          <w:color w:val="000007"/>
          <w:spacing w:val="-6"/>
          <w:sz w:val="32"/>
          <w:szCs w:val="32"/>
        </w:rPr>
        <w:t>走在前</w:t>
      </w:r>
      <w:r>
        <w:rPr>
          <w:rFonts w:hint="eastAsia" w:ascii="仿宋_GB2312" w:hAnsi="仿宋_GB2312" w:eastAsia="仿宋_GB2312" w:cs="仿宋_GB2312"/>
          <w:color w:val="000007"/>
          <w:spacing w:val="-6"/>
          <w:sz w:val="32"/>
          <w:szCs w:val="32"/>
          <w:lang w:eastAsia="zh-CN"/>
        </w:rPr>
        <w:t>”</w:t>
      </w:r>
      <w:r>
        <w:rPr>
          <w:rFonts w:hint="eastAsia" w:ascii="仿宋_GB2312" w:hAnsi="仿宋_GB2312" w:eastAsia="仿宋_GB2312" w:cs="仿宋_GB2312"/>
          <w:color w:val="000007"/>
          <w:spacing w:val="-6"/>
          <w:sz w:val="32"/>
          <w:szCs w:val="32"/>
        </w:rPr>
        <w:t>，打造生产</w:t>
      </w:r>
      <w:r>
        <w:rPr>
          <w:rFonts w:hint="eastAsia" w:ascii="仿宋_GB2312" w:hAnsi="仿宋_GB2312" w:eastAsia="仿宋_GB2312" w:cs="仿宋_GB2312"/>
          <w:color w:val="000007"/>
          <w:spacing w:val="-5"/>
          <w:sz w:val="32"/>
          <w:szCs w:val="32"/>
        </w:rPr>
        <w:t>规范、质量可靠、运营高效的花卉产业高地；在花卉产业科</w:t>
      </w:r>
      <w:r>
        <w:rPr>
          <w:rFonts w:hint="eastAsia" w:ascii="仿宋_GB2312" w:hAnsi="仿宋_GB2312" w:eastAsia="仿宋_GB2312" w:cs="仿宋_GB2312"/>
          <w:color w:val="000007"/>
          <w:spacing w:val="-15"/>
          <w:w w:val="95"/>
          <w:sz w:val="32"/>
          <w:szCs w:val="32"/>
        </w:rPr>
        <w:t>技创新、人才建设上</w:t>
      </w:r>
      <w:r>
        <w:rPr>
          <w:rFonts w:hint="eastAsia" w:ascii="仿宋_GB2312" w:hAnsi="仿宋_GB2312" w:eastAsia="仿宋_GB2312" w:cs="仿宋_GB2312"/>
          <w:color w:val="000007"/>
          <w:spacing w:val="-15"/>
          <w:w w:val="95"/>
          <w:sz w:val="32"/>
          <w:szCs w:val="32"/>
          <w:lang w:eastAsia="zh-CN"/>
        </w:rPr>
        <w:t>“</w:t>
      </w:r>
      <w:r>
        <w:rPr>
          <w:rFonts w:hint="eastAsia" w:ascii="仿宋_GB2312" w:hAnsi="仿宋_GB2312" w:eastAsia="仿宋_GB2312" w:cs="仿宋_GB2312"/>
          <w:color w:val="000007"/>
          <w:spacing w:val="-15"/>
          <w:w w:val="95"/>
          <w:sz w:val="32"/>
          <w:szCs w:val="32"/>
        </w:rPr>
        <w:t>走在前</w:t>
      </w:r>
      <w:r>
        <w:rPr>
          <w:rFonts w:hint="eastAsia" w:ascii="仿宋_GB2312" w:hAnsi="仿宋_GB2312" w:eastAsia="仿宋_GB2312" w:cs="仿宋_GB2312"/>
          <w:color w:val="000007"/>
          <w:spacing w:val="-15"/>
          <w:w w:val="95"/>
          <w:sz w:val="32"/>
          <w:szCs w:val="32"/>
          <w:lang w:eastAsia="zh-CN"/>
        </w:rPr>
        <w:t>”</w:t>
      </w:r>
      <w:r>
        <w:rPr>
          <w:rFonts w:hint="eastAsia" w:ascii="仿宋_GB2312" w:hAnsi="仿宋_GB2312" w:eastAsia="仿宋_GB2312" w:cs="仿宋_GB2312"/>
          <w:color w:val="000007"/>
          <w:spacing w:val="-15"/>
          <w:w w:val="95"/>
          <w:sz w:val="32"/>
          <w:szCs w:val="32"/>
        </w:rPr>
        <w:t>，打造人才集聚、科技领先、</w:t>
      </w:r>
      <w:r>
        <w:rPr>
          <w:rFonts w:hint="eastAsia" w:ascii="仿宋_GB2312" w:hAnsi="仿宋_GB2312" w:eastAsia="仿宋_GB2312" w:cs="仿宋_GB2312"/>
          <w:color w:val="000007"/>
          <w:spacing w:val="-13"/>
          <w:sz w:val="32"/>
          <w:szCs w:val="32"/>
        </w:rPr>
        <w:t>协同创新的花卉科创名地；在花卉文旅发展、新业态表达上</w:t>
      </w:r>
      <w:r>
        <w:rPr>
          <w:rFonts w:hint="eastAsia" w:ascii="仿宋_GB2312" w:hAnsi="仿宋_GB2312" w:eastAsia="仿宋_GB2312" w:cs="仿宋_GB2312"/>
          <w:color w:val="000007"/>
          <w:spacing w:val="-8"/>
          <w:sz w:val="32"/>
          <w:szCs w:val="32"/>
          <w:lang w:eastAsia="zh-CN"/>
        </w:rPr>
        <w:t>“</w:t>
      </w:r>
      <w:r>
        <w:rPr>
          <w:rFonts w:hint="eastAsia" w:ascii="仿宋_GB2312" w:hAnsi="仿宋_GB2312" w:eastAsia="仿宋_GB2312" w:cs="仿宋_GB2312"/>
          <w:color w:val="000007"/>
          <w:spacing w:val="-8"/>
          <w:sz w:val="32"/>
          <w:szCs w:val="32"/>
        </w:rPr>
        <w:t>走在前</w:t>
      </w:r>
      <w:r>
        <w:rPr>
          <w:rFonts w:hint="eastAsia" w:ascii="仿宋_GB2312" w:hAnsi="仿宋_GB2312" w:eastAsia="仿宋_GB2312" w:cs="仿宋_GB2312"/>
          <w:color w:val="000007"/>
          <w:spacing w:val="-8"/>
          <w:sz w:val="32"/>
          <w:szCs w:val="32"/>
          <w:lang w:eastAsia="zh-CN"/>
        </w:rPr>
        <w:t>”</w:t>
      </w:r>
      <w:r>
        <w:rPr>
          <w:rFonts w:hint="eastAsia" w:ascii="仿宋_GB2312" w:hAnsi="仿宋_GB2312" w:eastAsia="仿宋_GB2312" w:cs="仿宋_GB2312"/>
          <w:color w:val="000007"/>
          <w:spacing w:val="-8"/>
          <w:sz w:val="32"/>
          <w:szCs w:val="32"/>
        </w:rPr>
        <w:t>，打造产融一体、文旅相长、农商互联的花卉生态福地。</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z w:val="32"/>
          <w:szCs w:val="32"/>
        </w:rPr>
        <w:t>由此，商河花卉产业的总体发展定位是——</w:t>
      </w:r>
    </w:p>
    <w:p>
      <w:pPr>
        <w:pStyle w:val="13"/>
        <w:keepNext w:val="0"/>
        <w:keepLines w:val="0"/>
        <w:pageBreakBefore w:val="0"/>
        <w:widowControl w:val="0"/>
        <w:numPr>
          <w:ilvl w:val="0"/>
          <w:numId w:val="1"/>
        </w:numPr>
        <w:tabs>
          <w:tab w:val="left" w:pos="1579"/>
          <w:tab w:val="left" w:pos="1580"/>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z w:val="32"/>
          <w:szCs w:val="32"/>
        </w:rPr>
        <w:t>中国北方温泉花卉硅谷</w:t>
      </w:r>
    </w:p>
    <w:p>
      <w:pPr>
        <w:pStyle w:val="13"/>
        <w:keepNext w:val="0"/>
        <w:keepLines w:val="0"/>
        <w:pageBreakBefore w:val="0"/>
        <w:widowControl w:val="0"/>
        <w:numPr>
          <w:ilvl w:val="0"/>
          <w:numId w:val="1"/>
        </w:numPr>
        <w:tabs>
          <w:tab w:val="left" w:pos="1579"/>
          <w:tab w:val="left" w:pos="1580"/>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z w:val="32"/>
          <w:szCs w:val="32"/>
        </w:rPr>
        <w:t>黄河中下游花卉产业高质量发展示范区</w:t>
      </w:r>
    </w:p>
    <w:p>
      <w:pPr>
        <w:pStyle w:val="13"/>
        <w:keepNext w:val="0"/>
        <w:keepLines w:val="0"/>
        <w:pageBreakBefore w:val="0"/>
        <w:widowControl w:val="0"/>
        <w:numPr>
          <w:ilvl w:val="0"/>
          <w:numId w:val="1"/>
        </w:numPr>
        <w:tabs>
          <w:tab w:val="left" w:pos="1579"/>
          <w:tab w:val="left" w:pos="1580"/>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7"/>
          <w:sz w:val="32"/>
          <w:szCs w:val="32"/>
        </w:rPr>
        <w:t>温泉花卉产业创新集聚发展先行区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color w:val="000007"/>
          <w:sz w:val="32"/>
          <w:szCs w:val="32"/>
        </w:rPr>
      </w:pPr>
      <w:r>
        <w:rPr>
          <w:rFonts w:hint="eastAsia" w:ascii="仿宋_GB2312" w:hAnsi="仿宋_GB2312" w:eastAsia="仿宋_GB2312" w:cs="仿宋_GB2312"/>
          <w:color w:val="000007"/>
          <w:sz w:val="32"/>
          <w:szCs w:val="32"/>
        </w:rPr>
        <w:t></w:t>
      </w:r>
      <w:r>
        <w:rPr>
          <w:rFonts w:hint="eastAsia" w:ascii="仿宋_GB2312" w:hAnsi="仿宋_GB2312" w:eastAsia="仿宋_GB2312" w:cs="仿宋_GB2312"/>
          <w:color w:val="000007"/>
          <w:sz w:val="32"/>
          <w:szCs w:val="32"/>
          <w:lang w:val="en-US" w:eastAsia="zh-CN"/>
        </w:rPr>
        <w:t>（二）形象定位</w:t>
      </w:r>
    </w:p>
    <w:p>
      <w:pPr>
        <w:pStyle w:val="13"/>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7"/>
          <w:sz w:val="32"/>
          <w:szCs w:val="32"/>
          <w:lang w:eastAsia="zh-CN"/>
        </w:rPr>
        <w:t>“</w:t>
      </w:r>
      <w:r>
        <w:rPr>
          <w:rFonts w:hint="eastAsia" w:ascii="仿宋_GB2312" w:hAnsi="仿宋_GB2312" w:eastAsia="仿宋_GB2312" w:cs="仿宋_GB2312"/>
          <w:b w:val="0"/>
          <w:bCs w:val="0"/>
          <w:color w:val="000007"/>
          <w:sz w:val="32"/>
          <w:szCs w:val="32"/>
        </w:rPr>
        <w:t>温泉花乡</w:t>
      </w:r>
      <w:r>
        <w:rPr>
          <w:rFonts w:hint="eastAsia" w:ascii="仿宋_GB2312" w:hAnsi="仿宋_GB2312" w:eastAsia="仿宋_GB2312" w:cs="仿宋_GB2312"/>
          <w:b w:val="0"/>
          <w:bCs w:val="0"/>
          <w:color w:val="000007"/>
          <w:w w:val="85"/>
          <w:sz w:val="32"/>
          <w:szCs w:val="32"/>
        </w:rPr>
        <w:t>•</w:t>
      </w:r>
      <w:r>
        <w:rPr>
          <w:rFonts w:hint="eastAsia" w:ascii="仿宋_GB2312" w:hAnsi="仿宋_GB2312" w:eastAsia="仿宋_GB2312" w:cs="仿宋_GB2312"/>
          <w:b w:val="0"/>
          <w:bCs w:val="0"/>
          <w:color w:val="000007"/>
          <w:sz w:val="32"/>
          <w:szCs w:val="32"/>
        </w:rPr>
        <w:t>生态商河</w:t>
      </w:r>
      <w:r>
        <w:rPr>
          <w:rFonts w:hint="eastAsia" w:ascii="仿宋_GB2312" w:hAnsi="仿宋_GB2312" w:eastAsia="仿宋_GB2312" w:cs="仿宋_GB2312"/>
          <w:b w:val="0"/>
          <w:bCs w:val="0"/>
          <w:color w:val="000007"/>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6" w:firstLineChars="200"/>
        <w:jc w:val="both"/>
        <w:textAlignment w:val="auto"/>
        <w:outlineLvl w:val="9"/>
        <w:rPr>
          <w:rFonts w:hint="eastAsia" w:ascii="仿宋_GB2312" w:hAnsi="仿宋_GB2312" w:eastAsia="仿宋_GB2312" w:cs="仿宋_GB2312"/>
          <w:b w:val="0"/>
          <w:bCs w:val="0"/>
          <w:color w:val="000007"/>
          <w:spacing w:val="-1"/>
          <w:sz w:val="32"/>
          <w:szCs w:val="32"/>
          <w:lang w:eastAsia="zh-CN"/>
        </w:rPr>
      </w:pPr>
      <w:r>
        <w:rPr>
          <w:rFonts w:hint="eastAsia" w:ascii="仿宋_GB2312" w:hAnsi="仿宋_GB2312" w:eastAsia="仿宋_GB2312" w:cs="仿宋_GB2312"/>
          <w:b w:val="0"/>
          <w:bCs w:val="0"/>
          <w:color w:val="000007"/>
          <w:spacing w:val="-1"/>
          <w:sz w:val="32"/>
          <w:szCs w:val="32"/>
          <w:lang w:val="en-US" w:eastAsia="zh-CN"/>
        </w:rPr>
        <w:t>4、</w:t>
      </w:r>
      <w:r>
        <w:rPr>
          <w:rFonts w:hint="eastAsia" w:ascii="仿宋_GB2312" w:hAnsi="仿宋_GB2312" w:eastAsia="仿宋_GB2312" w:cs="仿宋_GB2312"/>
          <w:b w:val="0"/>
          <w:bCs w:val="0"/>
          <w:color w:val="000007"/>
          <w:spacing w:val="-1"/>
          <w:sz w:val="32"/>
          <w:szCs w:val="32"/>
          <w:lang w:eastAsia="zh-CN"/>
        </w:rPr>
        <w:t>规划思路</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pacing w:val="-1"/>
          <w:sz w:val="32"/>
          <w:szCs w:val="32"/>
        </w:rPr>
        <w:t>以建设黄河中下游流域花卉产业生产基地、研发创新高</w:t>
      </w:r>
      <w:r>
        <w:rPr>
          <w:rFonts w:hint="eastAsia" w:ascii="仿宋_GB2312" w:hAnsi="仿宋_GB2312" w:eastAsia="仿宋_GB2312" w:cs="仿宋_GB2312"/>
          <w:color w:val="000007"/>
          <w:spacing w:val="-3"/>
          <w:w w:val="95"/>
          <w:sz w:val="32"/>
          <w:szCs w:val="32"/>
        </w:rPr>
        <w:t>地、产业龙头总部聚集地、种子种苗交易集散地为目标，做</w:t>
      </w:r>
      <w:r>
        <w:rPr>
          <w:rFonts w:hint="eastAsia" w:ascii="仿宋_GB2312" w:hAnsi="仿宋_GB2312" w:eastAsia="仿宋_GB2312" w:cs="仿宋_GB2312"/>
          <w:color w:val="000007"/>
          <w:spacing w:val="-5"/>
          <w:sz w:val="32"/>
          <w:szCs w:val="32"/>
        </w:rPr>
        <w:t>大做强花卉产业生产、种质创新、良种示范推广，充分发挥</w:t>
      </w:r>
      <w:r>
        <w:rPr>
          <w:rFonts w:hint="eastAsia" w:ascii="仿宋_GB2312" w:hAnsi="仿宋_GB2312" w:eastAsia="仿宋_GB2312" w:cs="仿宋_GB2312"/>
          <w:color w:val="000007"/>
          <w:spacing w:val="-4"/>
          <w:sz w:val="32"/>
          <w:szCs w:val="32"/>
        </w:rPr>
        <w:t>科技、人才、信息、市场等资源优势，提升展示示范和会展</w:t>
      </w:r>
      <w:r>
        <w:rPr>
          <w:rFonts w:hint="eastAsia" w:ascii="仿宋_GB2312" w:hAnsi="仿宋_GB2312" w:eastAsia="仿宋_GB2312" w:cs="仿宋_GB2312"/>
          <w:color w:val="000007"/>
          <w:spacing w:val="-5"/>
          <w:w w:val="95"/>
          <w:sz w:val="32"/>
          <w:szCs w:val="32"/>
        </w:rPr>
        <w:t>服务水平，凝聚产业核心竞争力、拓展产业辐射驱动力，塑</w:t>
      </w:r>
      <w:r>
        <w:rPr>
          <w:rFonts w:hint="eastAsia" w:ascii="仿宋_GB2312" w:hAnsi="仿宋_GB2312" w:eastAsia="仿宋_GB2312" w:cs="仿宋_GB2312"/>
          <w:color w:val="000007"/>
          <w:spacing w:val="-6"/>
          <w:sz w:val="32"/>
          <w:szCs w:val="32"/>
        </w:rPr>
        <w:t>造中国北方温泉花卉硅谷，实现商河花卉产业高质量跨越式发展。</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pacing w:val="-3"/>
          <w:sz w:val="32"/>
          <w:szCs w:val="32"/>
        </w:rPr>
        <w:t>按照国家、省、市、县</w:t>
      </w:r>
      <w:r>
        <w:rPr>
          <w:rFonts w:hint="eastAsia" w:ascii="仿宋_GB2312" w:hAnsi="仿宋_GB2312" w:eastAsia="仿宋_GB2312" w:cs="仿宋_GB2312"/>
          <w:color w:val="000007"/>
          <w:spacing w:val="-3"/>
          <w:sz w:val="32"/>
          <w:szCs w:val="32"/>
          <w:lang w:eastAsia="zh-CN"/>
        </w:rPr>
        <w:t>“</w:t>
      </w:r>
      <w:r>
        <w:rPr>
          <w:rFonts w:hint="eastAsia" w:ascii="仿宋_GB2312" w:hAnsi="仿宋_GB2312" w:eastAsia="仿宋_GB2312" w:cs="仿宋_GB2312"/>
          <w:color w:val="000007"/>
          <w:spacing w:val="-3"/>
          <w:sz w:val="32"/>
          <w:szCs w:val="32"/>
        </w:rPr>
        <w:t>四级联动</w:t>
      </w:r>
      <w:r>
        <w:rPr>
          <w:rFonts w:hint="eastAsia" w:ascii="仿宋_GB2312" w:hAnsi="仿宋_GB2312" w:eastAsia="仿宋_GB2312" w:cs="仿宋_GB2312"/>
          <w:color w:val="000007"/>
          <w:spacing w:val="-3"/>
          <w:sz w:val="32"/>
          <w:szCs w:val="32"/>
          <w:lang w:eastAsia="zh-CN"/>
        </w:rPr>
        <w:t>”</w:t>
      </w:r>
      <w:r>
        <w:rPr>
          <w:rFonts w:hint="eastAsia" w:ascii="仿宋_GB2312" w:hAnsi="仿宋_GB2312" w:eastAsia="仿宋_GB2312" w:cs="仿宋_GB2312"/>
          <w:color w:val="000007"/>
          <w:spacing w:val="-3"/>
          <w:sz w:val="32"/>
          <w:szCs w:val="32"/>
        </w:rPr>
        <w:t>梯次创建理念，分类创建市级以上产业园、产业强镇、名品村等三级平台；加</w:t>
      </w:r>
      <w:r>
        <w:rPr>
          <w:rFonts w:hint="eastAsia" w:ascii="仿宋_GB2312" w:hAnsi="仿宋_GB2312" w:eastAsia="仿宋_GB2312" w:cs="仿宋_GB2312"/>
          <w:color w:val="000007"/>
          <w:spacing w:val="-4"/>
          <w:sz w:val="32"/>
          <w:szCs w:val="32"/>
        </w:rPr>
        <w:t>快提升农业产业链水平和</w:t>
      </w:r>
      <w:r>
        <w:rPr>
          <w:rFonts w:hint="eastAsia" w:ascii="仿宋_GB2312" w:hAnsi="仿宋_GB2312" w:eastAsia="仿宋_GB2312" w:cs="仿宋_GB2312"/>
          <w:color w:val="000007"/>
          <w:spacing w:val="-4"/>
          <w:sz w:val="32"/>
          <w:szCs w:val="32"/>
          <w:lang w:eastAsia="zh-CN"/>
        </w:rPr>
        <w:t>竞争力</w:t>
      </w:r>
      <w:r>
        <w:rPr>
          <w:rFonts w:hint="eastAsia" w:ascii="仿宋_GB2312" w:hAnsi="仿宋_GB2312" w:eastAsia="仿宋_GB2312" w:cs="仿宋_GB2312"/>
          <w:color w:val="000007"/>
          <w:spacing w:val="-4"/>
          <w:sz w:val="32"/>
          <w:szCs w:val="32"/>
        </w:rPr>
        <w:t>，精心打造一批具有商河特</w:t>
      </w:r>
      <w:r>
        <w:rPr>
          <w:rFonts w:hint="eastAsia" w:ascii="仿宋_GB2312" w:hAnsi="仿宋_GB2312" w:eastAsia="仿宋_GB2312" w:cs="仿宋_GB2312"/>
          <w:color w:val="000007"/>
          <w:spacing w:val="-5"/>
          <w:sz w:val="32"/>
          <w:szCs w:val="32"/>
        </w:rPr>
        <w:t>色优势、在省内外有影响力的产业集群、产业基地、领航企</w:t>
      </w:r>
      <w:r>
        <w:rPr>
          <w:rFonts w:hint="eastAsia" w:ascii="仿宋_GB2312" w:hAnsi="仿宋_GB2312" w:eastAsia="仿宋_GB2312" w:cs="仿宋_GB2312"/>
          <w:color w:val="000007"/>
          <w:spacing w:val="-7"/>
          <w:sz w:val="32"/>
          <w:szCs w:val="32"/>
        </w:rPr>
        <w:t>业和拳头产品，着力形成和巩固具有核心竞争力的现代高效</w:t>
      </w:r>
      <w:r>
        <w:rPr>
          <w:rFonts w:hint="eastAsia" w:ascii="仿宋_GB2312" w:hAnsi="仿宋_GB2312" w:eastAsia="仿宋_GB2312" w:cs="仿宋_GB2312"/>
          <w:color w:val="000007"/>
          <w:spacing w:val="-6"/>
          <w:sz w:val="32"/>
          <w:szCs w:val="32"/>
        </w:rPr>
        <w:t>农业产业链；进一步优化投资环境，大力开展招商引资，吸</w:t>
      </w:r>
      <w:r>
        <w:rPr>
          <w:rFonts w:hint="eastAsia" w:ascii="仿宋_GB2312" w:hAnsi="仿宋_GB2312" w:eastAsia="仿宋_GB2312" w:cs="仿宋_GB2312"/>
          <w:color w:val="000007"/>
          <w:spacing w:val="-7"/>
          <w:sz w:val="32"/>
          <w:szCs w:val="32"/>
        </w:rPr>
        <w:t>引重大项目落户商河；鼓励龙头企业开展精深加工，拉长产</w:t>
      </w:r>
      <w:r>
        <w:rPr>
          <w:rFonts w:hint="eastAsia" w:ascii="仿宋_GB2312" w:hAnsi="仿宋_GB2312" w:eastAsia="仿宋_GB2312" w:cs="仿宋_GB2312"/>
          <w:color w:val="000007"/>
          <w:spacing w:val="-13"/>
          <w:sz w:val="32"/>
          <w:szCs w:val="32"/>
        </w:rPr>
        <w:t>业链，增强</w:t>
      </w:r>
      <w:r>
        <w:rPr>
          <w:rFonts w:hint="eastAsia" w:ascii="仿宋_GB2312" w:hAnsi="仿宋_GB2312" w:eastAsia="仿宋_GB2312" w:cs="仿宋_GB2312"/>
          <w:color w:val="000007"/>
          <w:spacing w:val="-13"/>
          <w:sz w:val="32"/>
          <w:szCs w:val="32"/>
          <w:lang w:eastAsia="zh-CN"/>
        </w:rPr>
        <w:t>市场竞争力</w:t>
      </w:r>
      <w:r>
        <w:rPr>
          <w:rFonts w:hint="eastAsia" w:ascii="仿宋_GB2312" w:hAnsi="仿宋_GB2312" w:eastAsia="仿宋_GB2312" w:cs="仿宋_GB2312"/>
          <w:color w:val="000007"/>
          <w:spacing w:val="-13"/>
          <w:sz w:val="32"/>
          <w:szCs w:val="32"/>
        </w:rPr>
        <w:t>；构建</w:t>
      </w:r>
      <w:r>
        <w:rPr>
          <w:rFonts w:hint="eastAsia" w:ascii="仿宋_GB2312" w:hAnsi="仿宋_GB2312" w:eastAsia="仿宋_GB2312" w:cs="仿宋_GB2312"/>
          <w:color w:val="000007"/>
          <w:spacing w:val="-13"/>
          <w:sz w:val="32"/>
          <w:szCs w:val="32"/>
          <w:lang w:eastAsia="zh-CN"/>
        </w:rPr>
        <w:t>“</w:t>
      </w:r>
      <w:r>
        <w:rPr>
          <w:rFonts w:hint="eastAsia" w:ascii="仿宋_GB2312" w:hAnsi="仿宋_GB2312" w:eastAsia="仿宋_GB2312" w:cs="仿宋_GB2312"/>
          <w:color w:val="000007"/>
          <w:spacing w:val="-13"/>
          <w:sz w:val="32"/>
          <w:szCs w:val="32"/>
        </w:rPr>
        <w:t>企业</w:t>
      </w:r>
      <w:r>
        <w:rPr>
          <w:rFonts w:hint="eastAsia" w:ascii="仿宋_GB2312" w:hAnsi="仿宋_GB2312" w:eastAsia="仿宋_GB2312" w:cs="仿宋_GB2312"/>
          <w:color w:val="000007"/>
          <w:sz w:val="32"/>
          <w:szCs w:val="32"/>
        </w:rPr>
        <w:t>+家庭农场+农户+</w:t>
      </w:r>
      <w:r>
        <w:rPr>
          <w:rFonts w:hint="eastAsia" w:ascii="仿宋_GB2312" w:hAnsi="仿宋_GB2312" w:eastAsia="仿宋_GB2312" w:cs="仿宋_GB2312"/>
          <w:color w:val="000007"/>
          <w:spacing w:val="-3"/>
          <w:sz w:val="32"/>
          <w:szCs w:val="32"/>
        </w:rPr>
        <w:t>基地</w:t>
      </w:r>
      <w:r>
        <w:rPr>
          <w:rFonts w:hint="eastAsia" w:ascii="仿宋_GB2312" w:hAnsi="仿宋_GB2312" w:eastAsia="仿宋_GB2312" w:cs="仿宋_GB2312"/>
          <w:color w:val="000007"/>
          <w:spacing w:val="-3"/>
          <w:sz w:val="32"/>
          <w:szCs w:val="32"/>
          <w:lang w:eastAsia="zh-CN"/>
        </w:rPr>
        <w:t>”</w:t>
      </w:r>
      <w:r>
        <w:rPr>
          <w:rFonts w:hint="eastAsia" w:ascii="仿宋_GB2312" w:hAnsi="仿宋_GB2312" w:eastAsia="仿宋_GB2312" w:cs="仿宋_GB2312"/>
          <w:color w:val="000007"/>
          <w:spacing w:val="-2"/>
          <w:sz w:val="32"/>
          <w:szCs w:val="32"/>
        </w:rPr>
        <w:t>紧密型农户利益联结机制，丰富乡村经济业态，拓展农民增收空间。</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z w:val="32"/>
          <w:szCs w:val="32"/>
          <w:lang w:val="en-US" w:eastAsia="zh-CN"/>
        </w:rPr>
        <w:t>5</w:t>
      </w:r>
      <w:r>
        <w:rPr>
          <w:rFonts w:hint="eastAsia" w:ascii="仿宋_GB2312" w:hAnsi="仿宋_GB2312" w:eastAsia="仿宋_GB2312" w:cs="仿宋_GB2312"/>
          <w:color w:val="000007"/>
          <w:sz w:val="32"/>
          <w:szCs w:val="32"/>
        </w:rPr>
        <w:t>、发展目标</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color w:val="000007"/>
          <w:sz w:val="32"/>
          <w:szCs w:val="32"/>
        </w:rPr>
      </w:pPr>
      <w:r>
        <w:rPr>
          <w:rFonts w:hint="eastAsia" w:ascii="仿宋_GB2312" w:hAnsi="仿宋_GB2312" w:eastAsia="仿宋_GB2312" w:cs="仿宋_GB2312"/>
          <w:color w:val="000007"/>
          <w:sz w:val="32"/>
          <w:szCs w:val="32"/>
          <w:lang w:eastAsia="zh-CN"/>
        </w:rPr>
        <w:t>（一）</w:t>
      </w:r>
      <w:r>
        <w:rPr>
          <w:rFonts w:hint="eastAsia" w:ascii="仿宋_GB2312" w:hAnsi="仿宋_GB2312" w:eastAsia="仿宋_GB2312" w:cs="仿宋_GB2312"/>
          <w:color w:val="000007"/>
          <w:sz w:val="32"/>
          <w:szCs w:val="32"/>
        </w:rPr>
        <w:t>总体发展目标</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z w:val="32"/>
          <w:szCs w:val="32"/>
        </w:rPr>
        <w:t>以国家农业科技示范园为中心，围绕高标准建设温泉设</w:t>
      </w:r>
      <w:r>
        <w:rPr>
          <w:rFonts w:hint="eastAsia" w:ascii="仿宋_GB2312" w:hAnsi="仿宋_GB2312" w:eastAsia="仿宋_GB2312" w:cs="仿宋_GB2312"/>
          <w:color w:val="000007"/>
          <w:spacing w:val="-2"/>
          <w:sz w:val="32"/>
          <w:szCs w:val="32"/>
        </w:rPr>
        <w:t>施花卉基地的目标定位，依托海峡两岸温泉花卉创新园、温</w:t>
      </w:r>
      <w:r>
        <w:rPr>
          <w:rFonts w:hint="eastAsia" w:ascii="仿宋_GB2312" w:hAnsi="仿宋_GB2312" w:eastAsia="仿宋_GB2312" w:cs="仿宋_GB2312"/>
          <w:color w:val="000007"/>
          <w:spacing w:val="-3"/>
          <w:sz w:val="32"/>
          <w:szCs w:val="32"/>
        </w:rPr>
        <w:t>泉花卉谷等特色花卉产业项目，发挥区域资源及产业发展优</w:t>
      </w:r>
      <w:r>
        <w:rPr>
          <w:rFonts w:hint="eastAsia" w:ascii="仿宋_GB2312" w:hAnsi="仿宋_GB2312" w:eastAsia="仿宋_GB2312" w:cs="仿宋_GB2312"/>
          <w:color w:val="000007"/>
          <w:spacing w:val="11"/>
          <w:w w:val="95"/>
          <w:sz w:val="32"/>
          <w:szCs w:val="32"/>
        </w:rPr>
        <w:t>势，打造成为黄河下游花卉产业创新集聚发展先行区。到</w:t>
      </w:r>
      <w:r>
        <w:rPr>
          <w:rFonts w:hint="eastAsia" w:ascii="仿宋_GB2312" w:hAnsi="仿宋_GB2312" w:eastAsia="仿宋_GB2312" w:cs="仿宋_GB2312"/>
          <w:color w:val="000007"/>
          <w:spacing w:val="11"/>
          <w:sz w:val="32"/>
          <w:szCs w:val="32"/>
        </w:rPr>
        <w:t>2025</w:t>
      </w:r>
      <w:r>
        <w:rPr>
          <w:rFonts w:hint="eastAsia" w:ascii="仿宋_GB2312" w:hAnsi="仿宋_GB2312" w:eastAsia="仿宋_GB2312" w:cs="仿宋_GB2312"/>
          <w:color w:val="000007"/>
          <w:sz w:val="32"/>
          <w:szCs w:val="32"/>
        </w:rPr>
        <w:t>年，商河县花卉产业体系更加健全，高质量绿色发展</w:t>
      </w:r>
      <w:r>
        <w:rPr>
          <w:rFonts w:hint="eastAsia" w:ascii="仿宋_GB2312" w:hAnsi="仿宋_GB2312" w:eastAsia="仿宋_GB2312" w:cs="仿宋_GB2312"/>
          <w:color w:val="000007"/>
          <w:spacing w:val="-2"/>
          <w:sz w:val="32"/>
          <w:szCs w:val="32"/>
        </w:rPr>
        <w:t>全面推进；产业集聚下花卉产业结构优化升级，质量效益明</w:t>
      </w:r>
      <w:r>
        <w:rPr>
          <w:rFonts w:hint="eastAsia" w:ascii="仿宋_GB2312" w:hAnsi="仿宋_GB2312" w:eastAsia="仿宋_GB2312" w:cs="仿宋_GB2312"/>
          <w:color w:val="000007"/>
          <w:spacing w:val="-5"/>
          <w:sz w:val="32"/>
          <w:szCs w:val="32"/>
        </w:rPr>
        <w:t>显提升；温泉花卉产业特色深度拓展，一二三产业融合进一步深化，康养休闲创意农旅等新产业业态持续涌现；经营主体产业发展内生动力持续增强，示范带动能力进一步提升；</w:t>
      </w:r>
      <w:r>
        <w:rPr>
          <w:rFonts w:hint="eastAsia" w:ascii="仿宋_GB2312" w:hAnsi="仿宋_GB2312" w:eastAsia="仿宋_GB2312" w:cs="仿宋_GB2312"/>
          <w:color w:val="000007"/>
          <w:spacing w:val="-6"/>
          <w:sz w:val="32"/>
          <w:szCs w:val="32"/>
        </w:rPr>
        <w:t>科技创新转化率进一步提高，黄河流域高质量发展进一步深化；中国北方温泉花卉硅谷、温泉花乡成为行业地标。</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color w:val="000007"/>
          <w:sz w:val="32"/>
          <w:szCs w:val="32"/>
        </w:rPr>
      </w:pPr>
      <w:r>
        <w:rPr>
          <w:rFonts w:hint="eastAsia" w:ascii="仿宋_GB2312" w:hAnsi="仿宋_GB2312" w:eastAsia="仿宋_GB2312" w:cs="仿宋_GB2312"/>
          <w:color w:val="000007"/>
          <w:sz w:val="32"/>
          <w:szCs w:val="32"/>
          <w:lang w:eastAsia="zh-CN"/>
        </w:rPr>
        <w:t>（二）</w:t>
      </w:r>
      <w:r>
        <w:rPr>
          <w:rFonts w:hint="eastAsia" w:ascii="仿宋_GB2312" w:hAnsi="仿宋_GB2312" w:eastAsia="仿宋_GB2312" w:cs="仿宋_GB2312"/>
          <w:color w:val="000007"/>
          <w:sz w:val="32"/>
          <w:szCs w:val="32"/>
        </w:rPr>
        <w:t>具体发展目标</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8"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7"/>
          <w:spacing w:val="2"/>
          <w:sz w:val="32"/>
          <w:szCs w:val="32"/>
        </w:rPr>
        <w:t>——产业规模效益双突破</w:t>
      </w:r>
      <w:r>
        <w:rPr>
          <w:rFonts w:hint="eastAsia" w:ascii="仿宋_GB2312" w:hAnsi="仿宋_GB2312" w:eastAsia="仿宋_GB2312" w:cs="仿宋_GB2312"/>
          <w:b w:val="0"/>
          <w:bCs/>
          <w:color w:val="000007"/>
          <w:spacing w:val="-5"/>
          <w:sz w:val="32"/>
          <w:szCs w:val="32"/>
        </w:rPr>
        <w:t>实施</w:t>
      </w:r>
      <w:r>
        <w:rPr>
          <w:rFonts w:hint="eastAsia" w:ascii="仿宋_GB2312" w:hAnsi="仿宋_GB2312" w:eastAsia="仿宋_GB2312" w:cs="仿宋_GB2312"/>
          <w:b w:val="0"/>
          <w:bCs/>
          <w:color w:val="000007"/>
          <w:spacing w:val="-5"/>
          <w:sz w:val="32"/>
          <w:szCs w:val="32"/>
          <w:lang w:eastAsia="zh-CN"/>
        </w:rPr>
        <w:t>“</w:t>
      </w:r>
      <w:r>
        <w:rPr>
          <w:rFonts w:hint="eastAsia" w:ascii="仿宋_GB2312" w:hAnsi="仿宋_GB2312" w:eastAsia="仿宋_GB2312" w:cs="仿宋_GB2312"/>
          <w:b w:val="0"/>
          <w:bCs/>
          <w:color w:val="000007"/>
          <w:spacing w:val="-5"/>
          <w:sz w:val="32"/>
          <w:szCs w:val="32"/>
        </w:rPr>
        <w:t>十亿万亩</w:t>
      </w:r>
      <w:r>
        <w:rPr>
          <w:rFonts w:hint="eastAsia" w:ascii="仿宋_GB2312" w:hAnsi="仿宋_GB2312" w:eastAsia="仿宋_GB2312" w:cs="仿宋_GB2312"/>
          <w:b w:val="0"/>
          <w:bCs/>
          <w:color w:val="000007"/>
          <w:spacing w:val="-5"/>
          <w:sz w:val="32"/>
          <w:szCs w:val="32"/>
          <w:lang w:eastAsia="zh-CN"/>
        </w:rPr>
        <w:t>”</w:t>
      </w:r>
      <w:r>
        <w:rPr>
          <w:rFonts w:hint="eastAsia" w:ascii="仿宋_GB2312" w:hAnsi="仿宋_GB2312" w:eastAsia="仿宋_GB2312" w:cs="仿宋_GB2312"/>
          <w:b w:val="0"/>
          <w:bCs/>
          <w:color w:val="000007"/>
          <w:spacing w:val="-5"/>
          <w:sz w:val="32"/>
          <w:szCs w:val="32"/>
        </w:rPr>
        <w:t>发展战略，花卉产业及衍生产业集群初步形成。设施盆花、鲜切花、种</w:t>
      </w:r>
      <w:r>
        <w:rPr>
          <w:rFonts w:hint="eastAsia" w:ascii="仿宋_GB2312" w:hAnsi="仿宋_GB2312" w:eastAsia="仿宋_GB2312" w:cs="仿宋_GB2312"/>
          <w:b w:val="0"/>
          <w:bCs/>
          <w:color w:val="000007"/>
          <w:sz w:val="32"/>
          <w:szCs w:val="32"/>
        </w:rPr>
        <w:t>苗、露地草花等产业结构及布局升级优化，</w:t>
      </w:r>
      <w:r>
        <w:rPr>
          <w:rFonts w:hint="eastAsia" w:ascii="仿宋_GB2312" w:hAnsi="仿宋_GB2312" w:eastAsia="仿宋_GB2312" w:cs="仿宋_GB2312"/>
          <w:b w:val="0"/>
          <w:bCs/>
          <w:color w:val="000007"/>
          <w:sz w:val="32"/>
          <w:szCs w:val="32"/>
          <w:lang w:eastAsia="zh-CN"/>
        </w:rPr>
        <w:t>“</w:t>
      </w:r>
      <w:r>
        <w:rPr>
          <w:rFonts w:hint="eastAsia" w:ascii="仿宋_GB2312" w:hAnsi="仿宋_GB2312" w:eastAsia="仿宋_GB2312" w:cs="仿宋_GB2312"/>
          <w:b w:val="0"/>
          <w:bCs/>
          <w:color w:val="000007"/>
          <w:sz w:val="32"/>
          <w:szCs w:val="32"/>
        </w:rPr>
        <w:t>花木草药果</w:t>
      </w:r>
      <w:r>
        <w:rPr>
          <w:rFonts w:hint="eastAsia" w:ascii="仿宋_GB2312" w:hAnsi="仿宋_GB2312" w:eastAsia="仿宋_GB2312" w:cs="仿宋_GB2312"/>
          <w:b w:val="0"/>
          <w:bCs/>
          <w:color w:val="000007"/>
          <w:sz w:val="32"/>
          <w:szCs w:val="32"/>
          <w:lang w:eastAsia="zh-CN"/>
        </w:rPr>
        <w:t>”</w:t>
      </w:r>
      <w:r>
        <w:rPr>
          <w:rFonts w:hint="eastAsia" w:ascii="仿宋_GB2312" w:hAnsi="仿宋_GB2312" w:eastAsia="仿宋_GB2312" w:cs="仿宋_GB2312"/>
          <w:b w:val="0"/>
          <w:bCs/>
          <w:color w:val="000007"/>
          <w:spacing w:val="-1"/>
          <w:sz w:val="32"/>
          <w:szCs w:val="32"/>
        </w:rPr>
        <w:t>大花卉产业布局发展框架形成，花卉产业全域化高质量发展</w:t>
      </w:r>
      <w:r>
        <w:rPr>
          <w:rFonts w:hint="eastAsia" w:ascii="仿宋_GB2312" w:hAnsi="仿宋_GB2312" w:eastAsia="仿宋_GB2312" w:cs="仿宋_GB2312"/>
          <w:b w:val="0"/>
          <w:bCs/>
          <w:color w:val="000007"/>
          <w:spacing w:val="-11"/>
          <w:sz w:val="32"/>
          <w:szCs w:val="32"/>
        </w:rPr>
        <w:t>形成合力。花卉温室设施面积突破</w:t>
      </w:r>
      <w:r>
        <w:rPr>
          <w:rFonts w:hint="eastAsia" w:ascii="仿宋_GB2312" w:hAnsi="仿宋_GB2312" w:eastAsia="仿宋_GB2312" w:cs="仿宋_GB2312"/>
          <w:b w:val="0"/>
          <w:bCs/>
          <w:color w:val="000007"/>
          <w:sz w:val="32"/>
          <w:szCs w:val="32"/>
        </w:rPr>
        <w:t>200</w:t>
      </w:r>
      <w:r>
        <w:rPr>
          <w:rFonts w:hint="eastAsia" w:ascii="仿宋_GB2312" w:hAnsi="仿宋_GB2312" w:eastAsia="仿宋_GB2312" w:cs="仿宋_GB2312"/>
          <w:b w:val="0"/>
          <w:bCs/>
          <w:color w:val="000007"/>
          <w:spacing w:val="-6"/>
          <w:sz w:val="32"/>
          <w:szCs w:val="32"/>
        </w:rPr>
        <w:t>万平方米，高端商品</w:t>
      </w:r>
      <w:r>
        <w:rPr>
          <w:rFonts w:hint="eastAsia" w:ascii="仿宋_GB2312" w:hAnsi="仿宋_GB2312" w:eastAsia="仿宋_GB2312" w:cs="仿宋_GB2312"/>
          <w:b w:val="0"/>
          <w:bCs/>
          <w:color w:val="000007"/>
          <w:spacing w:val="-5"/>
          <w:sz w:val="32"/>
          <w:szCs w:val="32"/>
        </w:rPr>
        <w:t>盆花生产规模优势突破，年生产能力达到</w:t>
      </w:r>
      <w:r>
        <w:rPr>
          <w:rFonts w:hint="eastAsia" w:ascii="仿宋_GB2312" w:hAnsi="仿宋_GB2312" w:eastAsia="仿宋_GB2312" w:cs="仿宋_GB2312"/>
          <w:b w:val="0"/>
          <w:bCs/>
          <w:color w:val="000007"/>
          <w:sz w:val="32"/>
          <w:szCs w:val="32"/>
        </w:rPr>
        <w:t>5000</w:t>
      </w:r>
      <w:r>
        <w:rPr>
          <w:rFonts w:hint="eastAsia" w:ascii="仿宋_GB2312" w:hAnsi="仿宋_GB2312" w:eastAsia="仿宋_GB2312" w:cs="仿宋_GB2312"/>
          <w:b w:val="0"/>
          <w:bCs/>
          <w:color w:val="000007"/>
          <w:spacing w:val="2"/>
          <w:sz w:val="32"/>
          <w:szCs w:val="32"/>
        </w:rPr>
        <w:t>万盆以上；</w:t>
      </w:r>
      <w:r>
        <w:rPr>
          <w:rFonts w:hint="eastAsia" w:ascii="仿宋_GB2312" w:hAnsi="仿宋_GB2312" w:eastAsia="仿宋_GB2312" w:cs="仿宋_GB2312"/>
          <w:b w:val="0"/>
          <w:bCs/>
          <w:color w:val="000007"/>
          <w:spacing w:val="-5"/>
          <w:sz w:val="32"/>
          <w:szCs w:val="32"/>
        </w:rPr>
        <w:t>草花生产实现片区化，年生产能力突破</w:t>
      </w:r>
      <w:r>
        <w:rPr>
          <w:rFonts w:hint="eastAsia" w:ascii="仿宋_GB2312" w:hAnsi="仿宋_GB2312" w:eastAsia="仿宋_GB2312" w:cs="仿宋_GB2312"/>
          <w:b w:val="0"/>
          <w:bCs/>
          <w:color w:val="000007"/>
          <w:sz w:val="32"/>
          <w:szCs w:val="32"/>
        </w:rPr>
        <w:t>5000</w:t>
      </w:r>
      <w:r>
        <w:rPr>
          <w:rFonts w:hint="eastAsia" w:ascii="仿宋_GB2312" w:hAnsi="仿宋_GB2312" w:eastAsia="仿宋_GB2312" w:cs="仿宋_GB2312"/>
          <w:b w:val="0"/>
          <w:bCs/>
          <w:color w:val="000007"/>
          <w:spacing w:val="2"/>
          <w:sz w:val="32"/>
          <w:szCs w:val="32"/>
        </w:rPr>
        <w:t>万盆；花卉种</w:t>
      </w:r>
      <w:r>
        <w:rPr>
          <w:rFonts w:hint="eastAsia" w:ascii="仿宋_GB2312" w:hAnsi="仿宋_GB2312" w:eastAsia="仿宋_GB2312" w:cs="仿宋_GB2312"/>
          <w:b w:val="0"/>
          <w:bCs/>
          <w:color w:val="000007"/>
          <w:spacing w:val="-15"/>
          <w:sz w:val="32"/>
          <w:szCs w:val="32"/>
        </w:rPr>
        <w:t>苗年产突破</w:t>
      </w:r>
      <w:r>
        <w:rPr>
          <w:rFonts w:hint="eastAsia" w:ascii="仿宋_GB2312" w:hAnsi="仿宋_GB2312" w:eastAsia="仿宋_GB2312" w:cs="仿宋_GB2312"/>
          <w:b w:val="0"/>
          <w:bCs/>
          <w:color w:val="000007"/>
          <w:sz w:val="32"/>
          <w:szCs w:val="32"/>
        </w:rPr>
        <w:t>1</w:t>
      </w:r>
      <w:r>
        <w:rPr>
          <w:rFonts w:hint="eastAsia" w:ascii="仿宋_GB2312" w:hAnsi="仿宋_GB2312" w:eastAsia="仿宋_GB2312" w:cs="仿宋_GB2312"/>
          <w:b w:val="0"/>
          <w:bCs/>
          <w:color w:val="000007"/>
          <w:spacing w:val="-5"/>
          <w:sz w:val="32"/>
          <w:szCs w:val="32"/>
        </w:rPr>
        <w:t>亿株；鲜切花形成规模效益，年生产各类鲜切</w:t>
      </w:r>
      <w:r>
        <w:rPr>
          <w:rFonts w:hint="eastAsia" w:ascii="仿宋_GB2312" w:hAnsi="仿宋_GB2312" w:eastAsia="仿宋_GB2312" w:cs="仿宋_GB2312"/>
          <w:b w:val="0"/>
          <w:bCs/>
          <w:color w:val="000007"/>
          <w:spacing w:val="-22"/>
          <w:sz w:val="32"/>
          <w:szCs w:val="32"/>
        </w:rPr>
        <w:t>花突破</w:t>
      </w:r>
      <w:r>
        <w:rPr>
          <w:rFonts w:hint="eastAsia" w:ascii="仿宋_GB2312" w:hAnsi="仿宋_GB2312" w:eastAsia="仿宋_GB2312" w:cs="仿宋_GB2312"/>
          <w:b w:val="0"/>
          <w:bCs/>
          <w:color w:val="000007"/>
          <w:sz w:val="32"/>
          <w:szCs w:val="32"/>
        </w:rPr>
        <w:t>5000</w:t>
      </w:r>
      <w:r>
        <w:rPr>
          <w:rFonts w:hint="eastAsia" w:ascii="仿宋_GB2312" w:hAnsi="仿宋_GB2312" w:eastAsia="仿宋_GB2312" w:cs="仿宋_GB2312"/>
          <w:b w:val="0"/>
          <w:bCs/>
          <w:color w:val="000007"/>
          <w:spacing w:val="-10"/>
          <w:sz w:val="32"/>
          <w:szCs w:val="32"/>
        </w:rPr>
        <w:t>万支；食用、药用等功能化花木产业形成产能；</w:t>
      </w:r>
      <w:r>
        <w:rPr>
          <w:rFonts w:hint="eastAsia" w:ascii="仿宋_GB2312" w:hAnsi="仿宋_GB2312" w:eastAsia="仿宋_GB2312" w:cs="仿宋_GB2312"/>
          <w:b w:val="0"/>
          <w:bCs/>
          <w:color w:val="000007"/>
          <w:spacing w:val="-8"/>
          <w:sz w:val="32"/>
          <w:szCs w:val="32"/>
        </w:rPr>
        <w:t>花卉配套产业、服务产业及衍生产业逐步健全。花卉产业面</w:t>
      </w:r>
      <w:r>
        <w:rPr>
          <w:rFonts w:hint="eastAsia" w:ascii="仿宋_GB2312" w:hAnsi="仿宋_GB2312" w:eastAsia="仿宋_GB2312" w:cs="仿宋_GB2312"/>
          <w:b w:val="0"/>
          <w:bCs/>
          <w:color w:val="000007"/>
          <w:spacing w:val="-26"/>
          <w:sz w:val="32"/>
          <w:szCs w:val="32"/>
        </w:rPr>
        <w:t>积突破</w:t>
      </w:r>
      <w:r>
        <w:rPr>
          <w:rFonts w:hint="eastAsia" w:ascii="仿宋_GB2312" w:hAnsi="仿宋_GB2312" w:eastAsia="仿宋_GB2312" w:cs="仿宋_GB2312"/>
          <w:b w:val="0"/>
          <w:bCs/>
          <w:color w:val="000007"/>
          <w:sz w:val="32"/>
          <w:szCs w:val="32"/>
        </w:rPr>
        <w:t>10000</w:t>
      </w:r>
      <w:r>
        <w:rPr>
          <w:rFonts w:hint="eastAsia" w:ascii="仿宋_GB2312" w:hAnsi="仿宋_GB2312" w:eastAsia="仿宋_GB2312" w:cs="仿宋_GB2312"/>
          <w:b w:val="0"/>
          <w:bCs/>
          <w:color w:val="000007"/>
          <w:spacing w:val="-6"/>
          <w:sz w:val="32"/>
          <w:szCs w:val="32"/>
        </w:rPr>
        <w:t>亩，花卉产业综合年产值突破</w:t>
      </w:r>
      <w:r>
        <w:rPr>
          <w:rFonts w:hint="eastAsia" w:ascii="仿宋_GB2312" w:hAnsi="仿宋_GB2312" w:eastAsia="仿宋_GB2312" w:cs="仿宋_GB2312"/>
          <w:b w:val="0"/>
          <w:bCs/>
          <w:color w:val="000007"/>
          <w:sz w:val="32"/>
          <w:szCs w:val="32"/>
        </w:rPr>
        <w:t>30亿元，</w:t>
      </w:r>
      <w:r>
        <w:rPr>
          <w:rFonts w:hint="eastAsia" w:ascii="仿宋_GB2312" w:hAnsi="仿宋_GB2312" w:eastAsia="仿宋_GB2312" w:cs="仿宋_GB2312"/>
          <w:b w:val="0"/>
          <w:bCs/>
          <w:color w:val="000007"/>
          <w:sz w:val="32"/>
          <w:szCs w:val="32"/>
          <w:lang w:eastAsia="zh-CN"/>
        </w:rPr>
        <w:t>“</w:t>
      </w:r>
      <w:r>
        <w:rPr>
          <w:rFonts w:hint="eastAsia" w:ascii="仿宋_GB2312" w:hAnsi="仿宋_GB2312" w:eastAsia="仿宋_GB2312" w:cs="仿宋_GB2312"/>
          <w:b w:val="0"/>
          <w:bCs/>
          <w:color w:val="000007"/>
          <w:sz w:val="32"/>
          <w:szCs w:val="32"/>
        </w:rPr>
        <w:t>十亿万亩</w:t>
      </w:r>
      <w:r>
        <w:rPr>
          <w:rFonts w:hint="eastAsia" w:ascii="仿宋_GB2312" w:hAnsi="仿宋_GB2312" w:eastAsia="仿宋_GB2312" w:cs="仿宋_GB2312"/>
          <w:b w:val="0"/>
          <w:bCs/>
          <w:color w:val="000007"/>
          <w:sz w:val="32"/>
          <w:szCs w:val="32"/>
          <w:lang w:eastAsia="zh-CN"/>
        </w:rPr>
        <w:t>”</w:t>
      </w:r>
      <w:r>
        <w:rPr>
          <w:rFonts w:hint="eastAsia" w:ascii="仿宋_GB2312" w:hAnsi="仿宋_GB2312" w:eastAsia="仿宋_GB2312" w:cs="仿宋_GB2312"/>
          <w:b w:val="0"/>
          <w:bCs/>
          <w:color w:val="000007"/>
          <w:sz w:val="32"/>
          <w:szCs w:val="32"/>
        </w:rPr>
        <w:t>花卉新产业平台成为引领黄河下游花卉产业创新集聚发展及商河现代高效农业标志性项目承载基地。</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68"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7"/>
          <w:spacing w:val="7"/>
          <w:sz w:val="32"/>
          <w:szCs w:val="32"/>
        </w:rPr>
        <w:t>——产业主体镇村双突破</w:t>
      </w:r>
      <w:r>
        <w:rPr>
          <w:rFonts w:hint="eastAsia" w:ascii="仿宋_GB2312" w:hAnsi="仿宋_GB2312" w:eastAsia="仿宋_GB2312" w:cs="仿宋_GB2312"/>
          <w:b w:val="0"/>
          <w:bCs/>
          <w:color w:val="000007"/>
          <w:spacing w:val="4"/>
          <w:sz w:val="32"/>
          <w:szCs w:val="32"/>
        </w:rPr>
        <w:t>经营主体数量及规模持续扩</w:t>
      </w:r>
      <w:r>
        <w:rPr>
          <w:rFonts w:hint="eastAsia" w:ascii="仿宋_GB2312" w:hAnsi="仿宋_GB2312" w:eastAsia="仿宋_GB2312" w:cs="仿宋_GB2312"/>
          <w:b w:val="0"/>
          <w:bCs/>
          <w:color w:val="000007"/>
          <w:spacing w:val="-6"/>
          <w:sz w:val="32"/>
          <w:szCs w:val="32"/>
        </w:rPr>
        <w:t>大，龙头牵引效应凸显。年销售额</w:t>
      </w:r>
      <w:r>
        <w:rPr>
          <w:rFonts w:hint="eastAsia" w:ascii="仿宋_GB2312" w:hAnsi="仿宋_GB2312" w:eastAsia="仿宋_GB2312" w:cs="仿宋_GB2312"/>
          <w:b w:val="0"/>
          <w:bCs/>
          <w:color w:val="000007"/>
          <w:sz w:val="32"/>
          <w:szCs w:val="32"/>
        </w:rPr>
        <w:t>2000</w:t>
      </w:r>
      <w:r>
        <w:rPr>
          <w:rFonts w:hint="eastAsia" w:ascii="仿宋_GB2312" w:hAnsi="仿宋_GB2312" w:eastAsia="仿宋_GB2312" w:cs="仿宋_GB2312"/>
          <w:b w:val="0"/>
          <w:bCs/>
          <w:color w:val="000007"/>
          <w:spacing w:val="1"/>
          <w:sz w:val="32"/>
          <w:szCs w:val="32"/>
        </w:rPr>
        <w:t>万元以上的规模化</w:t>
      </w:r>
      <w:r>
        <w:rPr>
          <w:rFonts w:hint="eastAsia" w:ascii="仿宋_GB2312" w:hAnsi="仿宋_GB2312" w:eastAsia="仿宋_GB2312" w:cs="仿宋_GB2312"/>
          <w:b w:val="0"/>
          <w:bCs/>
          <w:color w:val="000007"/>
          <w:spacing w:val="-9"/>
          <w:sz w:val="32"/>
          <w:szCs w:val="32"/>
        </w:rPr>
        <w:t>产业经营主体突破</w:t>
      </w:r>
      <w:r>
        <w:rPr>
          <w:rFonts w:hint="eastAsia" w:ascii="仿宋_GB2312" w:hAnsi="仿宋_GB2312" w:eastAsia="仿宋_GB2312" w:cs="仿宋_GB2312"/>
          <w:b w:val="0"/>
          <w:bCs/>
          <w:color w:val="000007"/>
          <w:sz w:val="32"/>
          <w:szCs w:val="32"/>
        </w:rPr>
        <w:t>20</w:t>
      </w:r>
      <w:r>
        <w:rPr>
          <w:rFonts w:hint="eastAsia" w:ascii="仿宋_GB2312" w:hAnsi="仿宋_GB2312" w:eastAsia="仿宋_GB2312" w:cs="仿宋_GB2312"/>
          <w:b w:val="0"/>
          <w:bCs/>
          <w:color w:val="000007"/>
          <w:spacing w:val="-27"/>
          <w:sz w:val="32"/>
          <w:szCs w:val="32"/>
        </w:rPr>
        <w:t>家，年销售额超</w:t>
      </w:r>
      <w:r>
        <w:rPr>
          <w:rFonts w:hint="eastAsia" w:ascii="仿宋_GB2312" w:hAnsi="仿宋_GB2312" w:eastAsia="仿宋_GB2312" w:cs="仿宋_GB2312"/>
          <w:b w:val="0"/>
          <w:bCs/>
          <w:color w:val="000007"/>
          <w:sz w:val="32"/>
          <w:szCs w:val="32"/>
        </w:rPr>
        <w:t>5000万元龙头企业突</w:t>
      </w:r>
      <w:r>
        <w:rPr>
          <w:rFonts w:hint="eastAsia" w:ascii="仿宋_GB2312" w:hAnsi="仿宋_GB2312" w:eastAsia="仿宋_GB2312" w:cs="仿宋_GB2312"/>
          <w:b w:val="0"/>
          <w:bCs/>
          <w:color w:val="000007"/>
          <w:spacing w:val="-43"/>
          <w:sz w:val="32"/>
          <w:szCs w:val="32"/>
        </w:rPr>
        <w:t>破</w:t>
      </w:r>
      <w:r>
        <w:rPr>
          <w:rFonts w:hint="eastAsia" w:ascii="仿宋_GB2312" w:hAnsi="仿宋_GB2312" w:eastAsia="仿宋_GB2312" w:cs="仿宋_GB2312"/>
          <w:b w:val="0"/>
          <w:bCs/>
          <w:color w:val="000007"/>
          <w:sz w:val="32"/>
          <w:szCs w:val="32"/>
        </w:rPr>
        <w:t>3</w:t>
      </w:r>
      <w:r>
        <w:rPr>
          <w:rFonts w:hint="eastAsia" w:ascii="仿宋_GB2312" w:hAnsi="仿宋_GB2312" w:eastAsia="仿宋_GB2312" w:cs="仿宋_GB2312"/>
          <w:b w:val="0"/>
          <w:bCs/>
          <w:color w:val="000007"/>
          <w:spacing w:val="-5"/>
          <w:sz w:val="32"/>
          <w:szCs w:val="32"/>
        </w:rPr>
        <w:t>家。扎实推进花卉产业强镇、产业名品特色村发展。形</w:t>
      </w:r>
      <w:r>
        <w:rPr>
          <w:rFonts w:hint="eastAsia" w:ascii="仿宋_GB2312" w:hAnsi="仿宋_GB2312" w:eastAsia="仿宋_GB2312" w:cs="仿宋_GB2312"/>
          <w:b w:val="0"/>
          <w:bCs/>
          <w:color w:val="000007"/>
          <w:spacing w:val="-7"/>
          <w:sz w:val="32"/>
          <w:szCs w:val="32"/>
        </w:rPr>
        <w:t>成以许商街道、贾庄镇为核心的发展片区，农业产业化示范</w:t>
      </w:r>
      <w:r>
        <w:rPr>
          <w:rFonts w:hint="eastAsia" w:ascii="仿宋_GB2312" w:hAnsi="仿宋_GB2312" w:eastAsia="仿宋_GB2312" w:cs="仿宋_GB2312"/>
          <w:b w:val="0"/>
          <w:bCs/>
          <w:color w:val="000007"/>
          <w:spacing w:val="-11"/>
          <w:sz w:val="32"/>
          <w:szCs w:val="32"/>
        </w:rPr>
        <w:t>联合体发挥产业引领作用，花卉从业人员突破</w:t>
      </w:r>
      <w:r>
        <w:rPr>
          <w:rFonts w:hint="eastAsia" w:ascii="仿宋_GB2312" w:hAnsi="仿宋_GB2312" w:eastAsia="仿宋_GB2312" w:cs="仿宋_GB2312"/>
          <w:b w:val="0"/>
          <w:bCs/>
          <w:color w:val="000007"/>
          <w:sz w:val="32"/>
          <w:szCs w:val="32"/>
        </w:rPr>
        <w:t>30000人。</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7"/>
          <w:sz w:val="32"/>
          <w:szCs w:val="32"/>
        </w:rPr>
        <w:t>——产业平台服务双突破强力推进服务化平台的建设</w:t>
      </w:r>
      <w:r>
        <w:rPr>
          <w:rFonts w:hint="eastAsia" w:ascii="仿宋_GB2312" w:hAnsi="仿宋_GB2312" w:eastAsia="仿宋_GB2312" w:cs="仿宋_GB2312"/>
          <w:b w:val="0"/>
          <w:bCs/>
          <w:color w:val="000007"/>
          <w:spacing w:val="-3"/>
          <w:sz w:val="32"/>
          <w:szCs w:val="32"/>
        </w:rPr>
        <w:t>及服务体系的完善，构建体系健全、联结紧密、运行高效的</w:t>
      </w:r>
      <w:r>
        <w:rPr>
          <w:rFonts w:hint="eastAsia" w:ascii="仿宋_GB2312" w:hAnsi="仿宋_GB2312" w:eastAsia="仿宋_GB2312" w:cs="仿宋_GB2312"/>
          <w:b w:val="0"/>
          <w:bCs/>
          <w:color w:val="000007"/>
          <w:spacing w:val="-4"/>
          <w:sz w:val="32"/>
          <w:szCs w:val="32"/>
        </w:rPr>
        <w:t>产业运行管理及信息科技服务平台。以国家农业科技园为核</w:t>
      </w:r>
      <w:r>
        <w:rPr>
          <w:rFonts w:hint="eastAsia" w:ascii="仿宋_GB2312" w:hAnsi="仿宋_GB2312" w:eastAsia="仿宋_GB2312" w:cs="仿宋_GB2312"/>
          <w:b w:val="0"/>
          <w:bCs/>
          <w:color w:val="000007"/>
          <w:spacing w:val="-4"/>
          <w:w w:val="95"/>
          <w:sz w:val="32"/>
          <w:szCs w:val="32"/>
        </w:rPr>
        <w:t>心，推进温泉花卉科技创新研发中心、济南市花卉产业研究</w:t>
      </w:r>
      <w:r>
        <w:rPr>
          <w:rFonts w:hint="eastAsia" w:ascii="仿宋_GB2312" w:hAnsi="仿宋_GB2312" w:eastAsia="仿宋_GB2312" w:cs="仿宋_GB2312"/>
          <w:b w:val="0"/>
          <w:bCs/>
          <w:color w:val="000007"/>
          <w:spacing w:val="-6"/>
          <w:sz w:val="32"/>
          <w:szCs w:val="32"/>
        </w:rPr>
        <w:t>院科技平台建设及对接；构建功能齐全、服务高效的花卉产</w:t>
      </w:r>
      <w:r>
        <w:rPr>
          <w:rFonts w:hint="eastAsia" w:ascii="仿宋_GB2312" w:hAnsi="仿宋_GB2312" w:eastAsia="仿宋_GB2312" w:cs="仿宋_GB2312"/>
          <w:b w:val="0"/>
          <w:bCs/>
          <w:color w:val="000007"/>
          <w:spacing w:val="-7"/>
          <w:sz w:val="32"/>
          <w:szCs w:val="32"/>
        </w:rPr>
        <w:t>地市场交易平台；构建花卉产地现代化快速物流设施服务平</w:t>
      </w:r>
      <w:r>
        <w:rPr>
          <w:rFonts w:hint="eastAsia" w:ascii="仿宋_GB2312" w:hAnsi="仿宋_GB2312" w:eastAsia="仿宋_GB2312" w:cs="仿宋_GB2312"/>
          <w:b w:val="0"/>
          <w:bCs/>
          <w:color w:val="000007"/>
          <w:spacing w:val="-4"/>
          <w:w w:val="95"/>
          <w:sz w:val="32"/>
          <w:szCs w:val="32"/>
        </w:rPr>
        <w:t>台，包含冷链物流平台、智慧服务平台、电商营销平台等服</w:t>
      </w:r>
      <w:r>
        <w:rPr>
          <w:rFonts w:hint="eastAsia" w:ascii="仿宋_GB2312" w:hAnsi="仿宋_GB2312" w:eastAsia="仿宋_GB2312" w:cs="仿宋_GB2312"/>
          <w:b w:val="0"/>
          <w:bCs/>
          <w:color w:val="000007"/>
          <w:spacing w:val="-4"/>
          <w:sz w:val="32"/>
          <w:szCs w:val="32"/>
        </w:rPr>
        <w:t>务设施建设。</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7"/>
          <w:sz w:val="32"/>
          <w:szCs w:val="32"/>
        </w:rPr>
        <w:t>组建花卉行业协会或产业发展联盟，在种苗引进、生产管理、技术服务、信息交流、市场调控、销售流通等方面为花卉生产企业、政府职能部门、经营业户等提供专业服务。实施品牌发展战略，构建</w:t>
      </w:r>
      <w:r>
        <w:rPr>
          <w:rFonts w:hint="eastAsia" w:ascii="仿宋_GB2312" w:hAnsi="仿宋_GB2312" w:eastAsia="仿宋_GB2312" w:cs="仿宋_GB2312"/>
          <w:b w:val="0"/>
          <w:bCs/>
          <w:color w:val="000007"/>
          <w:sz w:val="32"/>
          <w:szCs w:val="32"/>
          <w:lang w:eastAsia="zh-CN"/>
        </w:rPr>
        <w:t>“</w:t>
      </w:r>
      <w:r>
        <w:rPr>
          <w:rFonts w:hint="eastAsia" w:ascii="仿宋_GB2312" w:hAnsi="仿宋_GB2312" w:eastAsia="仿宋_GB2312" w:cs="仿宋_GB2312"/>
          <w:b w:val="0"/>
          <w:bCs/>
          <w:color w:val="000007"/>
          <w:sz w:val="32"/>
          <w:szCs w:val="32"/>
        </w:rPr>
        <w:t>区域农业公用品牌+优质农产品品牌+企业自主品牌</w:t>
      </w:r>
      <w:r>
        <w:rPr>
          <w:rFonts w:hint="eastAsia" w:ascii="仿宋_GB2312" w:hAnsi="仿宋_GB2312" w:eastAsia="仿宋_GB2312" w:cs="仿宋_GB2312"/>
          <w:b w:val="0"/>
          <w:bCs/>
          <w:color w:val="000007"/>
          <w:sz w:val="32"/>
          <w:szCs w:val="32"/>
          <w:lang w:eastAsia="zh-CN"/>
        </w:rPr>
        <w:t>”</w:t>
      </w:r>
      <w:r>
        <w:rPr>
          <w:rFonts w:hint="eastAsia" w:ascii="仿宋_GB2312" w:hAnsi="仿宋_GB2312" w:eastAsia="仿宋_GB2312" w:cs="仿宋_GB2312"/>
          <w:b w:val="0"/>
          <w:bCs/>
          <w:color w:val="000007"/>
          <w:sz w:val="32"/>
          <w:szCs w:val="32"/>
        </w:rPr>
        <w:t>的品牌体系，形成以</w:t>
      </w:r>
      <w:r>
        <w:rPr>
          <w:rFonts w:hint="eastAsia" w:ascii="仿宋_GB2312" w:hAnsi="仿宋_GB2312" w:eastAsia="仿宋_GB2312" w:cs="仿宋_GB2312"/>
          <w:b w:val="0"/>
          <w:bCs/>
          <w:color w:val="000007"/>
          <w:sz w:val="32"/>
          <w:szCs w:val="32"/>
          <w:lang w:eastAsia="zh-CN"/>
        </w:rPr>
        <w:t>“</w:t>
      </w:r>
      <w:r>
        <w:rPr>
          <w:rFonts w:hint="eastAsia" w:ascii="仿宋_GB2312" w:hAnsi="仿宋_GB2312" w:eastAsia="仿宋_GB2312" w:cs="仿宋_GB2312"/>
          <w:b w:val="0"/>
          <w:bCs/>
          <w:color w:val="000007"/>
          <w:sz w:val="32"/>
          <w:szCs w:val="32"/>
        </w:rPr>
        <w:t>点赞商河</w:t>
      </w:r>
      <w:r>
        <w:rPr>
          <w:rFonts w:hint="eastAsia" w:ascii="仿宋_GB2312" w:hAnsi="仿宋_GB2312" w:eastAsia="仿宋_GB2312" w:cs="仿宋_GB2312"/>
          <w:b w:val="0"/>
          <w:bCs/>
          <w:color w:val="000007"/>
          <w:sz w:val="32"/>
          <w:szCs w:val="32"/>
          <w:lang w:eastAsia="zh-CN"/>
        </w:rPr>
        <w:t>”“</w:t>
      </w:r>
      <w:r>
        <w:rPr>
          <w:rFonts w:hint="eastAsia" w:ascii="仿宋_GB2312" w:hAnsi="仿宋_GB2312" w:eastAsia="仿宋_GB2312" w:cs="仿宋_GB2312"/>
          <w:b w:val="0"/>
          <w:bCs/>
          <w:color w:val="000007"/>
          <w:sz w:val="32"/>
          <w:szCs w:val="32"/>
        </w:rPr>
        <w:t>温泉花卉</w:t>
      </w:r>
      <w:r>
        <w:rPr>
          <w:rFonts w:hint="eastAsia" w:ascii="仿宋_GB2312" w:hAnsi="仿宋_GB2312" w:eastAsia="仿宋_GB2312" w:cs="仿宋_GB2312"/>
          <w:b w:val="0"/>
          <w:bCs/>
          <w:color w:val="000007"/>
          <w:sz w:val="32"/>
          <w:szCs w:val="32"/>
          <w:lang w:eastAsia="zh-CN"/>
        </w:rPr>
        <w:t>”</w:t>
      </w:r>
      <w:r>
        <w:rPr>
          <w:rFonts w:hint="eastAsia" w:ascii="仿宋_GB2312" w:hAnsi="仿宋_GB2312" w:eastAsia="仿宋_GB2312" w:cs="仿宋_GB2312"/>
          <w:b w:val="0"/>
          <w:bCs/>
          <w:color w:val="000007"/>
          <w:sz w:val="32"/>
          <w:szCs w:val="32"/>
        </w:rPr>
        <w:t>公用品牌为统领，以优质花卉产品品牌为支撑，以企业自主品牌为主体的品牌体系架构。重点加大区域公用品牌、</w:t>
      </w:r>
      <w:r>
        <w:rPr>
          <w:rFonts w:hint="eastAsia" w:ascii="仿宋_GB2312" w:hAnsi="仿宋_GB2312" w:eastAsia="仿宋_GB2312" w:cs="仿宋_GB2312"/>
          <w:b w:val="0"/>
          <w:bCs/>
          <w:color w:val="000007"/>
          <w:spacing w:val="-2"/>
          <w:sz w:val="32"/>
          <w:szCs w:val="32"/>
        </w:rPr>
        <w:t>企业品牌、产品品牌策划和宣传推介力度，提高品牌服务能</w:t>
      </w:r>
      <w:r>
        <w:rPr>
          <w:rFonts w:hint="eastAsia" w:ascii="仿宋_GB2312" w:hAnsi="仿宋_GB2312" w:eastAsia="仿宋_GB2312" w:cs="仿宋_GB2312"/>
          <w:b w:val="0"/>
          <w:bCs/>
          <w:color w:val="000007"/>
          <w:spacing w:val="-5"/>
          <w:sz w:val="32"/>
          <w:szCs w:val="32"/>
        </w:rPr>
        <w:t>力水平；鼓励龙头企业争创国家级、省级名牌产品和中国驰</w:t>
      </w:r>
      <w:r>
        <w:rPr>
          <w:rFonts w:hint="eastAsia" w:ascii="仿宋_GB2312" w:hAnsi="仿宋_GB2312" w:eastAsia="仿宋_GB2312" w:cs="仿宋_GB2312"/>
          <w:b w:val="0"/>
          <w:bCs/>
          <w:color w:val="000007"/>
          <w:spacing w:val="-6"/>
          <w:sz w:val="32"/>
          <w:szCs w:val="32"/>
        </w:rPr>
        <w:t>名商标、省著名商标。支持新型花卉经营主体开展全程专业</w:t>
      </w:r>
      <w:r>
        <w:rPr>
          <w:rFonts w:hint="eastAsia" w:ascii="仿宋_GB2312" w:hAnsi="仿宋_GB2312" w:eastAsia="仿宋_GB2312" w:cs="仿宋_GB2312"/>
          <w:b w:val="0"/>
          <w:bCs/>
          <w:color w:val="000007"/>
          <w:spacing w:val="-15"/>
          <w:w w:val="95"/>
          <w:sz w:val="32"/>
          <w:szCs w:val="32"/>
        </w:rPr>
        <w:t>化服务，提升花卉服务业水平，推动产业服务向一体化发展。</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7"/>
          <w:sz w:val="32"/>
          <w:szCs w:val="32"/>
        </w:rPr>
        <w:t>——产业加工农旅双突破强产业，促融合，拓展花卉</w:t>
      </w:r>
      <w:r>
        <w:rPr>
          <w:rFonts w:hint="eastAsia" w:ascii="仿宋_GB2312" w:hAnsi="仿宋_GB2312" w:eastAsia="仿宋_GB2312" w:cs="仿宋_GB2312"/>
          <w:b w:val="0"/>
          <w:bCs/>
          <w:color w:val="000007"/>
          <w:spacing w:val="-3"/>
          <w:w w:val="95"/>
          <w:sz w:val="32"/>
          <w:szCs w:val="32"/>
        </w:rPr>
        <w:t>产业链条，适度发展花卉产品深加工，创新产业新业态，促</w:t>
      </w:r>
      <w:r>
        <w:rPr>
          <w:rFonts w:hint="eastAsia" w:ascii="仿宋_GB2312" w:hAnsi="仿宋_GB2312" w:eastAsia="仿宋_GB2312" w:cs="仿宋_GB2312"/>
          <w:b w:val="0"/>
          <w:bCs/>
          <w:color w:val="000007"/>
          <w:spacing w:val="-5"/>
          <w:sz w:val="32"/>
          <w:szCs w:val="32"/>
        </w:rPr>
        <w:t>进三次产业深度融合。抢占花卉药食功能化产品市场、康养休闲市场大发展机遇，围绕产业链建设，整合资金项目，引</w:t>
      </w:r>
      <w:r>
        <w:rPr>
          <w:rFonts w:hint="eastAsia" w:ascii="仿宋_GB2312" w:hAnsi="仿宋_GB2312" w:eastAsia="仿宋_GB2312" w:cs="仿宋_GB2312"/>
          <w:b w:val="0"/>
          <w:bCs/>
          <w:color w:val="000007"/>
          <w:spacing w:val="-6"/>
          <w:sz w:val="32"/>
          <w:szCs w:val="32"/>
        </w:rPr>
        <w:t>导工商资本及企业进入花卉生产加工领域；通过加工企业改</w:t>
      </w:r>
      <w:r>
        <w:rPr>
          <w:rFonts w:hint="eastAsia" w:ascii="仿宋_GB2312" w:hAnsi="仿宋_GB2312" w:eastAsia="仿宋_GB2312" w:cs="仿宋_GB2312"/>
          <w:b w:val="0"/>
          <w:bCs/>
          <w:color w:val="000007"/>
          <w:spacing w:val="-7"/>
          <w:sz w:val="32"/>
          <w:szCs w:val="32"/>
        </w:rPr>
        <w:t>造升级及引进进行花卉深加工转移嫁接，推进花卉产业化联</w:t>
      </w:r>
      <w:r>
        <w:rPr>
          <w:rFonts w:hint="eastAsia" w:ascii="仿宋_GB2312" w:hAnsi="仿宋_GB2312" w:eastAsia="仿宋_GB2312" w:cs="仿宋_GB2312"/>
          <w:b w:val="0"/>
          <w:bCs/>
          <w:color w:val="000007"/>
          <w:spacing w:val="-6"/>
          <w:sz w:val="32"/>
          <w:szCs w:val="32"/>
        </w:rPr>
        <w:t>合体建设，逐步形成有规模、有优势、有品牌又各具特色的</w:t>
      </w:r>
      <w:r>
        <w:rPr>
          <w:rFonts w:hint="eastAsia" w:ascii="仿宋_GB2312" w:hAnsi="仿宋_GB2312" w:eastAsia="仿宋_GB2312" w:cs="仿宋_GB2312"/>
          <w:b w:val="0"/>
          <w:bCs/>
          <w:color w:val="000007"/>
          <w:spacing w:val="6"/>
          <w:sz w:val="32"/>
          <w:szCs w:val="32"/>
        </w:rPr>
        <w:t>花卉加工产业格局。</w:t>
      </w:r>
      <w:r>
        <w:rPr>
          <w:rFonts w:hint="eastAsia" w:ascii="仿宋_GB2312" w:hAnsi="仿宋_GB2312" w:eastAsia="仿宋_GB2312" w:cs="仿宋_GB2312"/>
          <w:b w:val="0"/>
          <w:bCs/>
          <w:color w:val="000007"/>
          <w:sz w:val="32"/>
          <w:szCs w:val="32"/>
        </w:rPr>
        <w:t>2025</w:t>
      </w:r>
      <w:r>
        <w:rPr>
          <w:rFonts w:hint="eastAsia" w:ascii="仿宋_GB2312" w:hAnsi="仿宋_GB2312" w:eastAsia="仿宋_GB2312" w:cs="仿宋_GB2312"/>
          <w:b w:val="0"/>
          <w:bCs/>
          <w:color w:val="000007"/>
          <w:spacing w:val="-3"/>
          <w:sz w:val="32"/>
          <w:szCs w:val="32"/>
        </w:rPr>
        <w:t>年，花卉加工类企业达到</w:t>
      </w:r>
      <w:r>
        <w:rPr>
          <w:rFonts w:hint="eastAsia" w:ascii="仿宋_GB2312" w:hAnsi="仿宋_GB2312" w:eastAsia="仿宋_GB2312" w:cs="仿宋_GB2312"/>
          <w:b w:val="0"/>
          <w:bCs/>
          <w:color w:val="000007"/>
          <w:sz w:val="32"/>
          <w:szCs w:val="32"/>
        </w:rPr>
        <w:t>5</w:t>
      </w:r>
      <w:r>
        <w:rPr>
          <w:rFonts w:hint="eastAsia" w:ascii="仿宋_GB2312" w:hAnsi="仿宋_GB2312" w:eastAsia="仿宋_GB2312" w:cs="仿宋_GB2312"/>
          <w:b w:val="0"/>
          <w:bCs/>
          <w:color w:val="000007"/>
          <w:spacing w:val="3"/>
          <w:sz w:val="32"/>
          <w:szCs w:val="32"/>
        </w:rPr>
        <w:t>家，</w:t>
      </w:r>
      <w:r>
        <w:rPr>
          <w:rFonts w:hint="eastAsia" w:ascii="仿宋_GB2312" w:hAnsi="仿宋_GB2312" w:eastAsia="仿宋_GB2312" w:cs="仿宋_GB2312"/>
          <w:b w:val="0"/>
          <w:bCs/>
          <w:color w:val="000007"/>
          <w:spacing w:val="-4"/>
          <w:sz w:val="32"/>
          <w:szCs w:val="32"/>
        </w:rPr>
        <w:t>带动花卉功能化产业基地过</w:t>
      </w:r>
      <w:r>
        <w:rPr>
          <w:rFonts w:hint="eastAsia" w:ascii="仿宋_GB2312" w:hAnsi="仿宋_GB2312" w:eastAsia="仿宋_GB2312" w:cs="仿宋_GB2312"/>
          <w:b w:val="0"/>
          <w:bCs/>
          <w:color w:val="000007"/>
          <w:sz w:val="32"/>
          <w:szCs w:val="32"/>
        </w:rPr>
        <w:t>1万亩，产值过亿元。</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7"/>
          <w:sz w:val="32"/>
          <w:szCs w:val="32"/>
        </w:rPr>
        <w:t>依托国家农业科技园、中科院微生物研究所齐鲁现代微生物农业技术中心、济南花卉产业研究院等科技研发平台，开展芳香植物、食用、药用、干燥花等花卉精深加工研发及成果转化，花卉深加工产品取得重大突破，花卉加工业成为商河新的产业增长极。</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7"/>
          <w:sz w:val="32"/>
          <w:szCs w:val="32"/>
          <w:lang w:eastAsia="zh-CN"/>
        </w:rPr>
        <w:t>“</w:t>
      </w:r>
      <w:r>
        <w:rPr>
          <w:rFonts w:hint="eastAsia" w:ascii="仿宋_GB2312" w:hAnsi="仿宋_GB2312" w:eastAsia="仿宋_GB2312" w:cs="仿宋_GB2312"/>
          <w:b w:val="0"/>
          <w:bCs/>
          <w:color w:val="000007"/>
          <w:sz w:val="32"/>
          <w:szCs w:val="32"/>
        </w:rPr>
        <w:t>温泉花卉主题</w:t>
      </w:r>
      <w:r>
        <w:rPr>
          <w:rFonts w:hint="eastAsia" w:ascii="仿宋_GB2312" w:hAnsi="仿宋_GB2312" w:eastAsia="仿宋_GB2312" w:cs="仿宋_GB2312"/>
          <w:b w:val="0"/>
          <w:bCs/>
          <w:color w:val="000007"/>
          <w:sz w:val="32"/>
          <w:szCs w:val="32"/>
          <w:lang w:eastAsia="zh-CN"/>
        </w:rPr>
        <w:t>”</w:t>
      </w:r>
      <w:r>
        <w:rPr>
          <w:rFonts w:hint="eastAsia" w:ascii="仿宋_GB2312" w:hAnsi="仿宋_GB2312" w:eastAsia="仿宋_GB2312" w:cs="仿宋_GB2312"/>
          <w:b w:val="0"/>
          <w:bCs/>
          <w:color w:val="000007"/>
          <w:sz w:val="32"/>
          <w:szCs w:val="32"/>
        </w:rPr>
        <w:t>全域旅游全面推进。花卉产业片区、美丽乡村片区、城乡一体化中心片区景观化格局特色凸显。商中河、大沙河、徒骇河三河生态文旅与花主题紧密融合，</w:t>
      </w:r>
      <w:r>
        <w:rPr>
          <w:rFonts w:hint="eastAsia" w:ascii="仿宋_GB2312" w:hAnsi="仿宋_GB2312" w:eastAsia="仿宋_GB2312" w:cs="仿宋_GB2312"/>
          <w:b w:val="0"/>
          <w:bCs/>
          <w:color w:val="000007"/>
          <w:spacing w:val="-1"/>
          <w:sz w:val="32"/>
          <w:szCs w:val="32"/>
        </w:rPr>
        <w:t>打造花之韵、花之香、花之彩特色主题区；商中路</w:t>
      </w:r>
      <w:r>
        <w:rPr>
          <w:rFonts w:hint="eastAsia" w:ascii="仿宋_GB2312" w:hAnsi="仿宋_GB2312" w:eastAsia="仿宋_GB2312" w:cs="仿宋_GB2312"/>
          <w:b w:val="0"/>
          <w:bCs/>
          <w:color w:val="000007"/>
          <w:sz w:val="32"/>
          <w:szCs w:val="32"/>
        </w:rPr>
        <w:t>S240、</w:t>
      </w:r>
      <w:r>
        <w:rPr>
          <w:rFonts w:hint="eastAsia" w:ascii="仿宋_GB2312" w:hAnsi="仿宋_GB2312" w:eastAsia="仿宋_GB2312" w:cs="仿宋_GB2312"/>
          <w:b w:val="0"/>
          <w:bCs/>
          <w:color w:val="000007"/>
          <w:spacing w:val="-18"/>
          <w:sz w:val="32"/>
          <w:szCs w:val="32"/>
        </w:rPr>
        <w:t>滨河路、东子线</w:t>
      </w:r>
      <w:r>
        <w:rPr>
          <w:rFonts w:hint="eastAsia" w:ascii="仿宋_GB2312" w:hAnsi="仿宋_GB2312" w:eastAsia="仿宋_GB2312" w:cs="仿宋_GB2312"/>
          <w:b w:val="0"/>
          <w:bCs/>
          <w:color w:val="000007"/>
          <w:spacing w:val="-17"/>
          <w:sz w:val="32"/>
          <w:szCs w:val="32"/>
        </w:rPr>
        <w:t>G340（</w:t>
      </w:r>
      <w:r>
        <w:rPr>
          <w:rFonts w:hint="eastAsia" w:ascii="仿宋_GB2312" w:hAnsi="仿宋_GB2312" w:eastAsia="仿宋_GB2312" w:cs="仿宋_GB2312"/>
          <w:b w:val="0"/>
          <w:bCs/>
          <w:color w:val="000007"/>
          <w:sz w:val="32"/>
          <w:szCs w:val="32"/>
        </w:rPr>
        <w:t>东子线-银河路-东子线城区西南东北贯穿</w:t>
      </w:r>
      <w:r>
        <w:rPr>
          <w:rFonts w:hint="eastAsia" w:ascii="仿宋_GB2312" w:hAnsi="仿宋_GB2312" w:eastAsia="仿宋_GB2312" w:cs="仿宋_GB2312"/>
          <w:b w:val="0"/>
          <w:bCs/>
          <w:color w:val="000007"/>
          <w:spacing w:val="-5"/>
          <w:sz w:val="32"/>
          <w:szCs w:val="32"/>
        </w:rPr>
        <w:t>）</w:t>
      </w:r>
      <w:r>
        <w:rPr>
          <w:rFonts w:hint="eastAsia" w:ascii="仿宋_GB2312" w:hAnsi="仿宋_GB2312" w:eastAsia="仿宋_GB2312" w:cs="仿宋_GB2312"/>
          <w:b w:val="0"/>
          <w:bCs/>
          <w:color w:val="000007"/>
          <w:spacing w:val="-3"/>
          <w:sz w:val="32"/>
          <w:szCs w:val="32"/>
        </w:rPr>
        <w:t>、东子线绕城公路三路一环花主题景观文化提升；花</w:t>
      </w:r>
      <w:r>
        <w:rPr>
          <w:rFonts w:hint="eastAsia" w:ascii="仿宋_GB2312" w:hAnsi="仿宋_GB2312" w:eastAsia="仿宋_GB2312" w:cs="仿宋_GB2312"/>
          <w:b w:val="0"/>
          <w:bCs/>
          <w:color w:val="000007"/>
          <w:spacing w:val="-5"/>
          <w:sz w:val="32"/>
          <w:szCs w:val="32"/>
        </w:rPr>
        <w:t>博会主会场、温泉基地、清水河公园、滨河湿地公园、乡村绿洲、秧歌古村等主景区，花与水、花与村、花与地区文化相融相生，实现农文旅常态化发展；花博会、农博会等主题展会实现经济旅游节庆化。以花为媒，以泉为介，拓宽花卉</w:t>
      </w:r>
      <w:r>
        <w:rPr>
          <w:rFonts w:hint="eastAsia" w:ascii="仿宋_GB2312" w:hAnsi="仿宋_GB2312" w:eastAsia="仿宋_GB2312" w:cs="仿宋_GB2312"/>
          <w:b w:val="0"/>
          <w:bCs/>
          <w:color w:val="000007"/>
          <w:spacing w:val="-5"/>
          <w:w w:val="95"/>
          <w:sz w:val="32"/>
          <w:szCs w:val="32"/>
        </w:rPr>
        <w:t>旅游的载体空间，弥补和丰富旅游资源内涵，向休闲度假深</w:t>
      </w:r>
      <w:r>
        <w:rPr>
          <w:rFonts w:hint="eastAsia" w:ascii="仿宋_GB2312" w:hAnsi="仿宋_GB2312" w:eastAsia="仿宋_GB2312" w:cs="仿宋_GB2312"/>
          <w:b w:val="0"/>
          <w:bCs/>
          <w:color w:val="000007"/>
          <w:spacing w:val="-7"/>
          <w:sz w:val="32"/>
          <w:szCs w:val="32"/>
        </w:rPr>
        <w:t>层次方向拓展深化，提高花卉产品的整体吸引力，拉动商河全域旅游经济的大发展。</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val="0"/>
          <w:color w:val="000007"/>
          <w:sz w:val="32"/>
          <w:szCs w:val="32"/>
          <w:lang w:val="en-US" w:eastAsia="zh-CN" w:bidi="ar-SA"/>
        </w:rPr>
        <w:t>——产业人才科技双突破</w:t>
      </w:r>
      <w:r>
        <w:rPr>
          <w:rFonts w:hint="eastAsia" w:ascii="仿宋_GB2312" w:hAnsi="仿宋_GB2312" w:eastAsia="仿宋_GB2312" w:cs="仿宋_GB2312"/>
          <w:b w:val="0"/>
          <w:bCs/>
          <w:color w:val="000007"/>
          <w:spacing w:val="-3"/>
          <w:sz w:val="32"/>
          <w:szCs w:val="32"/>
        </w:rPr>
        <w:t>加强花卉产业专业技术人才培养。采取</w:t>
      </w:r>
      <w:r>
        <w:rPr>
          <w:rFonts w:hint="eastAsia" w:ascii="仿宋_GB2312" w:hAnsi="仿宋_GB2312" w:eastAsia="仿宋_GB2312" w:cs="仿宋_GB2312"/>
          <w:b w:val="0"/>
          <w:bCs/>
          <w:color w:val="000007"/>
          <w:spacing w:val="-3"/>
          <w:sz w:val="32"/>
          <w:szCs w:val="32"/>
          <w:lang w:eastAsia="zh-CN"/>
        </w:rPr>
        <w:t>“</w:t>
      </w:r>
      <w:r>
        <w:rPr>
          <w:rFonts w:hint="eastAsia" w:ascii="仿宋_GB2312" w:hAnsi="仿宋_GB2312" w:eastAsia="仿宋_GB2312" w:cs="仿宋_GB2312"/>
          <w:b w:val="0"/>
          <w:bCs/>
          <w:color w:val="000007"/>
          <w:spacing w:val="-3"/>
          <w:sz w:val="32"/>
          <w:szCs w:val="32"/>
        </w:rPr>
        <w:t>政府推动、社会化办学、市场化运作</w:t>
      </w:r>
      <w:r>
        <w:rPr>
          <w:rFonts w:hint="eastAsia" w:ascii="仿宋_GB2312" w:hAnsi="仿宋_GB2312" w:eastAsia="仿宋_GB2312" w:cs="仿宋_GB2312"/>
          <w:b w:val="0"/>
          <w:bCs/>
          <w:color w:val="000007"/>
          <w:spacing w:val="-3"/>
          <w:sz w:val="32"/>
          <w:szCs w:val="32"/>
          <w:lang w:eastAsia="zh-CN"/>
        </w:rPr>
        <w:t>”</w:t>
      </w:r>
      <w:r>
        <w:rPr>
          <w:rFonts w:hint="eastAsia" w:ascii="仿宋_GB2312" w:hAnsi="仿宋_GB2312" w:eastAsia="仿宋_GB2312" w:cs="仿宋_GB2312"/>
          <w:b w:val="0"/>
          <w:bCs/>
          <w:color w:val="000007"/>
          <w:spacing w:val="-3"/>
          <w:sz w:val="32"/>
          <w:szCs w:val="32"/>
        </w:rPr>
        <w:t>的方式，建立由各级花卉协会、有</w:t>
      </w:r>
      <w:r>
        <w:rPr>
          <w:rFonts w:hint="eastAsia" w:ascii="仿宋_GB2312" w:hAnsi="仿宋_GB2312" w:eastAsia="仿宋_GB2312" w:cs="仿宋_GB2312"/>
          <w:b w:val="0"/>
          <w:bCs/>
          <w:color w:val="000007"/>
          <w:spacing w:val="-5"/>
          <w:sz w:val="32"/>
          <w:szCs w:val="32"/>
        </w:rPr>
        <w:t>关院校、花卉企业为主体的花卉产业专业技术人才教育培训体系，组建商河花卉学院，加大人才培养力度，聚集一流的</w:t>
      </w:r>
      <w:r>
        <w:rPr>
          <w:rFonts w:hint="eastAsia" w:ascii="仿宋_GB2312" w:hAnsi="仿宋_GB2312" w:eastAsia="仿宋_GB2312" w:cs="仿宋_GB2312"/>
          <w:b w:val="0"/>
          <w:bCs/>
          <w:color w:val="000007"/>
          <w:spacing w:val="-6"/>
          <w:sz w:val="32"/>
          <w:szCs w:val="32"/>
        </w:rPr>
        <w:t>人才资源，并造就一支能够应对竞争的人才队伍。形成高端</w:t>
      </w:r>
      <w:r>
        <w:rPr>
          <w:rFonts w:hint="eastAsia" w:ascii="仿宋_GB2312" w:hAnsi="仿宋_GB2312" w:eastAsia="仿宋_GB2312" w:cs="仿宋_GB2312"/>
          <w:b w:val="0"/>
          <w:bCs/>
          <w:color w:val="000007"/>
          <w:spacing w:val="-5"/>
          <w:w w:val="95"/>
          <w:sz w:val="32"/>
          <w:szCs w:val="32"/>
        </w:rPr>
        <w:t>人才引领、专业技术人才支撑、职业化人才管理的金字塔人</w:t>
      </w:r>
      <w:r>
        <w:rPr>
          <w:rFonts w:hint="eastAsia" w:ascii="仿宋_GB2312" w:hAnsi="仿宋_GB2312" w:eastAsia="仿宋_GB2312" w:cs="仿宋_GB2312"/>
          <w:b w:val="0"/>
          <w:bCs/>
          <w:color w:val="000007"/>
          <w:spacing w:val="-5"/>
          <w:sz w:val="32"/>
          <w:szCs w:val="32"/>
        </w:rPr>
        <w:t>才运行机制。2025年，招引及柔性引进行业高层次人才</w:t>
      </w:r>
      <w:r>
        <w:rPr>
          <w:rFonts w:hint="eastAsia" w:ascii="仿宋_GB2312" w:hAnsi="仿宋_GB2312" w:eastAsia="仿宋_GB2312" w:cs="仿宋_GB2312"/>
          <w:b w:val="0"/>
          <w:bCs/>
          <w:color w:val="000007"/>
          <w:sz w:val="32"/>
          <w:szCs w:val="32"/>
        </w:rPr>
        <w:t>10</w:t>
      </w:r>
      <w:r>
        <w:rPr>
          <w:rFonts w:hint="eastAsia" w:ascii="仿宋_GB2312" w:hAnsi="仿宋_GB2312" w:eastAsia="仿宋_GB2312" w:cs="仿宋_GB2312"/>
          <w:b w:val="0"/>
          <w:bCs/>
          <w:color w:val="000007"/>
          <w:spacing w:val="-3"/>
          <w:sz w:val="32"/>
          <w:szCs w:val="32"/>
        </w:rPr>
        <w:t>名，包含科技、经济管理、市场运营等高端人才，引进培养</w:t>
      </w:r>
      <w:r>
        <w:rPr>
          <w:rFonts w:hint="eastAsia" w:ascii="仿宋_GB2312" w:hAnsi="仿宋_GB2312" w:eastAsia="仿宋_GB2312" w:cs="仿宋_GB2312"/>
          <w:b w:val="0"/>
          <w:bCs/>
          <w:color w:val="000007"/>
          <w:spacing w:val="-12"/>
          <w:sz w:val="32"/>
          <w:szCs w:val="32"/>
        </w:rPr>
        <w:t>花卉生产、产品研发、产业管理专业带头人</w:t>
      </w:r>
      <w:r>
        <w:rPr>
          <w:rFonts w:hint="eastAsia" w:ascii="仿宋_GB2312" w:hAnsi="仿宋_GB2312" w:eastAsia="仿宋_GB2312" w:cs="仿宋_GB2312"/>
          <w:b w:val="0"/>
          <w:bCs/>
          <w:color w:val="000007"/>
          <w:sz w:val="32"/>
          <w:szCs w:val="32"/>
        </w:rPr>
        <w:t>500</w:t>
      </w:r>
      <w:r>
        <w:rPr>
          <w:rFonts w:hint="eastAsia" w:ascii="仿宋_GB2312" w:hAnsi="仿宋_GB2312" w:eastAsia="仿宋_GB2312" w:cs="仿宋_GB2312"/>
          <w:b w:val="0"/>
          <w:bCs/>
          <w:color w:val="000007"/>
          <w:spacing w:val="-5"/>
          <w:sz w:val="32"/>
          <w:szCs w:val="32"/>
        </w:rPr>
        <w:t>名，花卉专</w:t>
      </w:r>
      <w:r>
        <w:rPr>
          <w:rFonts w:hint="eastAsia" w:ascii="仿宋_GB2312" w:hAnsi="仿宋_GB2312" w:eastAsia="仿宋_GB2312" w:cs="仿宋_GB2312"/>
          <w:b w:val="0"/>
          <w:bCs/>
          <w:color w:val="000007"/>
          <w:spacing w:val="-13"/>
          <w:sz w:val="32"/>
          <w:szCs w:val="32"/>
        </w:rPr>
        <w:t>业化从业人员</w:t>
      </w:r>
      <w:r>
        <w:rPr>
          <w:rFonts w:hint="eastAsia" w:ascii="仿宋_GB2312" w:hAnsi="仿宋_GB2312" w:eastAsia="仿宋_GB2312" w:cs="仿宋_GB2312"/>
          <w:b w:val="0"/>
          <w:bCs/>
          <w:color w:val="000007"/>
          <w:sz w:val="32"/>
          <w:szCs w:val="32"/>
        </w:rPr>
        <w:t>10000</w:t>
      </w:r>
      <w:r>
        <w:rPr>
          <w:rFonts w:hint="eastAsia" w:ascii="仿宋_GB2312" w:hAnsi="仿宋_GB2312" w:eastAsia="仿宋_GB2312" w:cs="仿宋_GB2312"/>
          <w:b w:val="0"/>
          <w:bCs/>
          <w:color w:val="000007"/>
          <w:spacing w:val="-11"/>
          <w:sz w:val="32"/>
          <w:szCs w:val="32"/>
        </w:rPr>
        <w:t>名，花卉</w:t>
      </w:r>
      <w:r>
        <w:rPr>
          <w:rFonts w:hint="eastAsia" w:ascii="仿宋_GB2312" w:hAnsi="仿宋_GB2312" w:eastAsia="仿宋_GB2312" w:cs="仿宋_GB2312"/>
          <w:b w:val="0"/>
          <w:bCs/>
          <w:color w:val="000007"/>
          <w:spacing w:val="-11"/>
          <w:sz w:val="32"/>
          <w:szCs w:val="32"/>
          <w:lang w:eastAsia="zh-CN"/>
        </w:rPr>
        <w:t>“</w:t>
      </w:r>
      <w:r>
        <w:rPr>
          <w:rFonts w:hint="eastAsia" w:ascii="仿宋_GB2312" w:hAnsi="仿宋_GB2312" w:eastAsia="仿宋_GB2312" w:cs="仿宋_GB2312"/>
          <w:b w:val="0"/>
          <w:bCs/>
          <w:color w:val="000007"/>
          <w:spacing w:val="-11"/>
          <w:sz w:val="32"/>
          <w:szCs w:val="32"/>
        </w:rPr>
        <w:t>十百万金字塔人才工程</w:t>
      </w:r>
      <w:r>
        <w:rPr>
          <w:rFonts w:hint="eastAsia" w:ascii="仿宋_GB2312" w:hAnsi="仿宋_GB2312" w:eastAsia="仿宋_GB2312" w:cs="仿宋_GB2312"/>
          <w:b w:val="0"/>
          <w:bCs/>
          <w:color w:val="000007"/>
          <w:spacing w:val="-11"/>
          <w:sz w:val="32"/>
          <w:szCs w:val="32"/>
          <w:lang w:eastAsia="zh-CN"/>
        </w:rPr>
        <w:t>”</w:t>
      </w:r>
      <w:r>
        <w:rPr>
          <w:rFonts w:hint="eastAsia" w:ascii="仿宋_GB2312" w:hAnsi="仿宋_GB2312" w:eastAsia="仿宋_GB2312" w:cs="仿宋_GB2312"/>
          <w:b w:val="0"/>
          <w:bCs/>
          <w:color w:val="000007"/>
          <w:spacing w:val="-11"/>
          <w:sz w:val="32"/>
          <w:szCs w:val="32"/>
        </w:rPr>
        <w:t>形成强有力产业支撑。</w:t>
      </w:r>
      <w:r>
        <w:rPr>
          <w:rFonts w:hint="eastAsia" w:ascii="仿宋_GB2312" w:hAnsi="仿宋_GB2312" w:eastAsia="仿宋_GB2312" w:cs="仿宋_GB2312"/>
          <w:b w:val="0"/>
          <w:bCs/>
          <w:color w:val="000007"/>
          <w:spacing w:val="-1"/>
          <w:sz w:val="32"/>
          <w:szCs w:val="32"/>
        </w:rPr>
        <w:t>科技创新成为商河花卉产业发展的持久动力。鼓励支持</w:t>
      </w:r>
      <w:r>
        <w:rPr>
          <w:rFonts w:hint="eastAsia" w:ascii="仿宋_GB2312" w:hAnsi="仿宋_GB2312" w:eastAsia="仿宋_GB2312" w:cs="仿宋_GB2312"/>
          <w:b w:val="0"/>
          <w:bCs/>
          <w:color w:val="000007"/>
          <w:spacing w:val="-2"/>
          <w:sz w:val="32"/>
          <w:szCs w:val="32"/>
        </w:rPr>
        <w:t>企业自主知识产权花卉优良品种的选引应用；鼓励支持花卉</w:t>
      </w:r>
      <w:r>
        <w:rPr>
          <w:rFonts w:hint="eastAsia" w:ascii="仿宋_GB2312" w:hAnsi="仿宋_GB2312" w:eastAsia="仿宋_GB2312" w:cs="仿宋_GB2312"/>
          <w:b w:val="0"/>
          <w:bCs/>
          <w:color w:val="000007"/>
          <w:spacing w:val="-4"/>
          <w:sz w:val="32"/>
          <w:szCs w:val="32"/>
        </w:rPr>
        <w:t>龙头企业、研究院、花卉创新团队制定优势产品的生产技术</w:t>
      </w:r>
      <w:r>
        <w:rPr>
          <w:rFonts w:hint="eastAsia" w:ascii="仿宋_GB2312" w:hAnsi="仿宋_GB2312" w:eastAsia="仿宋_GB2312" w:cs="仿宋_GB2312"/>
          <w:b w:val="0"/>
          <w:bCs/>
          <w:color w:val="000007"/>
          <w:spacing w:val="-5"/>
          <w:sz w:val="32"/>
          <w:szCs w:val="32"/>
        </w:rPr>
        <w:t>标准或规程；鼓励支持温室设施、生产装备、生产资材、创</w:t>
      </w:r>
      <w:r>
        <w:rPr>
          <w:rFonts w:hint="eastAsia" w:ascii="仿宋_GB2312" w:hAnsi="仿宋_GB2312" w:eastAsia="仿宋_GB2312" w:cs="仿宋_GB2312"/>
          <w:b w:val="0"/>
          <w:bCs/>
          <w:color w:val="000007"/>
          <w:spacing w:val="-4"/>
          <w:sz w:val="32"/>
          <w:szCs w:val="32"/>
        </w:rPr>
        <w:t>新改造；鼓励支持技术体系的引进、整合、创新；鼓励支持</w:t>
      </w:r>
      <w:r>
        <w:rPr>
          <w:rFonts w:hint="eastAsia" w:ascii="仿宋_GB2312" w:hAnsi="仿宋_GB2312" w:eastAsia="仿宋_GB2312" w:cs="仿宋_GB2312"/>
          <w:b w:val="0"/>
          <w:bCs/>
          <w:color w:val="000007"/>
          <w:spacing w:val="-16"/>
          <w:w w:val="95"/>
          <w:sz w:val="32"/>
          <w:szCs w:val="32"/>
        </w:rPr>
        <w:t>产业绿色发展技术、循环产业生产技术；鼓励支持品牌创建、</w:t>
      </w:r>
      <w:r>
        <w:rPr>
          <w:rFonts w:hint="eastAsia" w:ascii="仿宋_GB2312" w:hAnsi="仿宋_GB2312" w:eastAsia="仿宋_GB2312" w:cs="仿宋_GB2312"/>
          <w:b w:val="0"/>
          <w:bCs/>
          <w:color w:val="000007"/>
          <w:spacing w:val="-9"/>
          <w:sz w:val="32"/>
          <w:szCs w:val="32"/>
        </w:rPr>
        <w:t>专利申报、专著、技术手册的编制；鼓励产业发展全流程信</w:t>
      </w:r>
      <w:r>
        <w:rPr>
          <w:rFonts w:hint="eastAsia" w:ascii="仿宋_GB2312" w:hAnsi="仿宋_GB2312" w:eastAsia="仿宋_GB2312" w:cs="仿宋_GB2312"/>
          <w:b w:val="0"/>
          <w:bCs/>
          <w:color w:val="000007"/>
          <w:spacing w:val="-5"/>
          <w:sz w:val="32"/>
          <w:szCs w:val="32"/>
        </w:rPr>
        <w:t>息化、数字化、智慧化技术的引进及应用。通过人才工程及科技全域化的实施，在商河花卉产品多样化、生产现代化、</w:t>
      </w:r>
      <w:r>
        <w:rPr>
          <w:rFonts w:hint="eastAsia" w:ascii="仿宋_GB2312" w:hAnsi="仿宋_GB2312" w:eastAsia="仿宋_GB2312" w:cs="仿宋_GB2312"/>
          <w:b w:val="0"/>
          <w:bCs/>
          <w:color w:val="000007"/>
          <w:spacing w:val="-7"/>
          <w:sz w:val="32"/>
          <w:szCs w:val="32"/>
        </w:rPr>
        <w:t>服务专业化、信息有效化、储运便捷化等方面获得实质性突</w:t>
      </w:r>
      <w:r>
        <w:rPr>
          <w:rFonts w:hint="eastAsia" w:ascii="仿宋_GB2312" w:hAnsi="仿宋_GB2312" w:eastAsia="仿宋_GB2312" w:cs="仿宋_GB2312"/>
          <w:b w:val="0"/>
          <w:bCs/>
          <w:color w:val="000007"/>
          <w:spacing w:val="-16"/>
          <w:w w:val="95"/>
          <w:sz w:val="32"/>
          <w:szCs w:val="32"/>
        </w:rPr>
        <w:t>破，最大限度地实现资源的有效配置，形成产业核心竞争力。</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color w:val="000007"/>
          <w:sz w:val="32"/>
          <w:szCs w:val="32"/>
        </w:rPr>
      </w:pPr>
      <w:r>
        <w:rPr>
          <w:rFonts w:hint="eastAsia" w:ascii="仿宋_GB2312" w:hAnsi="仿宋_GB2312" w:eastAsia="仿宋_GB2312" w:cs="仿宋_GB2312"/>
          <w:color w:val="000007"/>
          <w:sz w:val="32"/>
          <w:szCs w:val="32"/>
          <w:lang w:eastAsia="zh-CN"/>
        </w:rPr>
        <w:t>（</w:t>
      </w:r>
      <w:r>
        <w:rPr>
          <w:rFonts w:hint="eastAsia" w:ascii="仿宋_GB2312" w:hAnsi="仿宋_GB2312" w:eastAsia="仿宋_GB2312" w:cs="仿宋_GB2312"/>
          <w:color w:val="000007"/>
          <w:sz w:val="32"/>
          <w:szCs w:val="32"/>
          <w:lang w:val="en-US" w:eastAsia="zh-CN"/>
        </w:rPr>
        <w:t>三）阶段性发展目标</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4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pacing w:val="-41"/>
          <w:sz w:val="32"/>
          <w:szCs w:val="32"/>
        </w:rPr>
        <w:t>到</w:t>
      </w:r>
      <w:r>
        <w:rPr>
          <w:rFonts w:hint="eastAsia" w:ascii="仿宋_GB2312" w:hAnsi="仿宋_GB2312" w:eastAsia="仿宋_GB2312" w:cs="仿宋_GB2312"/>
          <w:color w:val="000007"/>
          <w:sz w:val="32"/>
          <w:szCs w:val="32"/>
        </w:rPr>
        <w:t>2022</w:t>
      </w:r>
      <w:r>
        <w:rPr>
          <w:rFonts w:hint="eastAsia" w:ascii="仿宋_GB2312" w:hAnsi="仿宋_GB2312" w:eastAsia="仿宋_GB2312" w:cs="仿宋_GB2312"/>
          <w:color w:val="000007"/>
          <w:spacing w:val="2"/>
          <w:sz w:val="32"/>
          <w:szCs w:val="32"/>
        </w:rPr>
        <w:t>年，完成商河花卉产业发展的框架发展体系，</w:t>
      </w:r>
      <w:r>
        <w:rPr>
          <w:rFonts w:hint="eastAsia" w:ascii="仿宋_GB2312" w:hAnsi="仿宋_GB2312" w:eastAsia="仿宋_GB2312" w:cs="仿宋_GB2312"/>
          <w:color w:val="000007"/>
          <w:spacing w:val="-14"/>
          <w:w w:val="95"/>
          <w:sz w:val="32"/>
          <w:szCs w:val="32"/>
        </w:rPr>
        <w:t>包含政策体系、制度体系、标准体系和考核体系等，在资金、</w:t>
      </w:r>
      <w:r>
        <w:rPr>
          <w:rFonts w:hint="eastAsia" w:ascii="仿宋_GB2312" w:hAnsi="仿宋_GB2312" w:eastAsia="仿宋_GB2312" w:cs="仿宋_GB2312"/>
          <w:color w:val="000007"/>
          <w:spacing w:val="-7"/>
          <w:sz w:val="32"/>
          <w:szCs w:val="32"/>
        </w:rPr>
        <w:t>项目、土地、人才、科技等要素支撑上，建立起完善的发展</w:t>
      </w:r>
      <w:r>
        <w:rPr>
          <w:rFonts w:hint="eastAsia" w:ascii="仿宋_GB2312" w:hAnsi="仿宋_GB2312" w:eastAsia="仿宋_GB2312" w:cs="仿宋_GB2312"/>
          <w:color w:val="000007"/>
          <w:spacing w:val="-15"/>
          <w:sz w:val="32"/>
          <w:szCs w:val="32"/>
        </w:rPr>
        <w:t>保障；到</w:t>
      </w:r>
      <w:r>
        <w:rPr>
          <w:rFonts w:hint="eastAsia" w:ascii="仿宋_GB2312" w:hAnsi="仿宋_GB2312" w:eastAsia="仿宋_GB2312" w:cs="仿宋_GB2312"/>
          <w:color w:val="000007"/>
          <w:sz w:val="32"/>
          <w:szCs w:val="32"/>
        </w:rPr>
        <w:t>2025年，按照规划框架，产业基础设施建设完成升级改造，规模化、片区化格局初步形成，人才队伍建设、</w:t>
      </w:r>
      <w:r>
        <w:rPr>
          <w:rFonts w:hint="eastAsia" w:ascii="仿宋_GB2312" w:hAnsi="仿宋_GB2312" w:eastAsia="仿宋_GB2312" w:cs="仿宋_GB2312"/>
          <w:color w:val="000007"/>
          <w:spacing w:val="-2"/>
          <w:sz w:val="32"/>
          <w:szCs w:val="32"/>
        </w:rPr>
        <w:t>产业科技应用获得重大突破，商河花卉产业发展呈现持续高</w:t>
      </w:r>
      <w:r>
        <w:rPr>
          <w:rFonts w:hint="eastAsia" w:ascii="仿宋_GB2312" w:hAnsi="仿宋_GB2312" w:eastAsia="仿宋_GB2312" w:cs="仿宋_GB2312"/>
          <w:color w:val="000007"/>
          <w:spacing w:val="-8"/>
          <w:sz w:val="32"/>
          <w:szCs w:val="32"/>
        </w:rPr>
        <w:t>质量发展态势；到</w:t>
      </w:r>
      <w:r>
        <w:rPr>
          <w:rFonts w:hint="eastAsia" w:ascii="仿宋_GB2312" w:hAnsi="仿宋_GB2312" w:eastAsia="仿宋_GB2312" w:cs="仿宋_GB2312"/>
          <w:color w:val="000007"/>
          <w:sz w:val="32"/>
          <w:szCs w:val="32"/>
        </w:rPr>
        <w:t>2035年，商河县花卉产业经济取得决定</w:t>
      </w:r>
      <w:r>
        <w:rPr>
          <w:rFonts w:hint="eastAsia" w:ascii="仿宋_GB2312" w:hAnsi="仿宋_GB2312" w:eastAsia="仿宋_GB2312" w:cs="仿宋_GB2312"/>
          <w:color w:val="000007"/>
          <w:spacing w:val="-4"/>
          <w:sz w:val="32"/>
          <w:szCs w:val="32"/>
        </w:rPr>
        <w:t>性进展，产业集群化、集约化、现代化格局在地区农业发展</w:t>
      </w:r>
      <w:r>
        <w:rPr>
          <w:rFonts w:hint="eastAsia" w:ascii="仿宋_GB2312" w:hAnsi="仿宋_GB2312" w:eastAsia="仿宋_GB2312" w:cs="仿宋_GB2312"/>
          <w:color w:val="000007"/>
          <w:spacing w:val="-6"/>
          <w:sz w:val="32"/>
          <w:szCs w:val="32"/>
        </w:rPr>
        <w:t>中发挥出重要作用，绿色发展实现全域化，中国北方温泉花卉硅谷成为行业发展风向标。</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7"/>
          <w:sz w:val="32"/>
          <w:szCs w:val="32"/>
          <w:lang w:val="en-US" w:eastAsia="zh-CN"/>
        </w:rPr>
        <w:t>6、</w:t>
      </w:r>
      <w:r>
        <w:rPr>
          <w:rFonts w:hint="eastAsia" w:ascii="仿宋_GB2312" w:hAnsi="仿宋_GB2312" w:eastAsia="仿宋_GB2312" w:cs="仿宋_GB2312"/>
          <w:b w:val="0"/>
          <w:bCs w:val="0"/>
          <w:color w:val="000007"/>
          <w:sz w:val="32"/>
          <w:szCs w:val="32"/>
        </w:rPr>
        <w:t>实施路径</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color w:val="000007"/>
          <w:sz w:val="32"/>
          <w:szCs w:val="32"/>
        </w:rPr>
      </w:pPr>
      <w:r>
        <w:rPr>
          <w:rFonts w:hint="eastAsia" w:ascii="仿宋_GB2312" w:hAnsi="仿宋_GB2312" w:eastAsia="仿宋_GB2312" w:cs="仿宋_GB2312"/>
          <w:color w:val="000007"/>
          <w:sz w:val="32"/>
          <w:szCs w:val="32"/>
          <w:lang w:eastAsia="zh-CN"/>
        </w:rPr>
        <w:t>（一）</w:t>
      </w:r>
      <w:r>
        <w:rPr>
          <w:rFonts w:hint="eastAsia" w:ascii="仿宋_GB2312" w:hAnsi="仿宋_GB2312" w:eastAsia="仿宋_GB2312" w:cs="仿宋_GB2312"/>
          <w:color w:val="000007"/>
          <w:sz w:val="32"/>
          <w:szCs w:val="32"/>
        </w:rPr>
        <w:t>强化要素建设，优化营商环境</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52" w:firstLineChars="200"/>
        <w:jc w:val="both"/>
        <w:textAlignment w:val="auto"/>
        <w:outlineLvl w:val="9"/>
        <w:rPr>
          <w:rFonts w:hint="eastAsia" w:ascii="仿宋_GB2312" w:hAnsi="仿宋_GB2312" w:eastAsia="仿宋_GB2312" w:cs="仿宋_GB2312"/>
          <w:b w:val="0"/>
          <w:bCs w:val="0"/>
          <w:color w:val="000007"/>
          <w:spacing w:val="-18"/>
          <w:w w:val="95"/>
          <w:sz w:val="32"/>
          <w:szCs w:val="32"/>
        </w:rPr>
      </w:pPr>
      <w:r>
        <w:rPr>
          <w:rFonts w:hint="eastAsia" w:ascii="仿宋_GB2312" w:hAnsi="仿宋_GB2312" w:eastAsia="仿宋_GB2312" w:cs="仿宋_GB2312"/>
          <w:b w:val="0"/>
          <w:bCs w:val="0"/>
          <w:color w:val="000007"/>
          <w:spacing w:val="-14"/>
          <w:w w:val="95"/>
          <w:sz w:val="32"/>
          <w:szCs w:val="32"/>
        </w:rPr>
        <w:t>依据规划目标，强化花卉产业基本公共服务、基础设施、</w:t>
      </w:r>
      <w:r>
        <w:rPr>
          <w:rFonts w:hint="eastAsia" w:ascii="仿宋_GB2312" w:hAnsi="仿宋_GB2312" w:eastAsia="仿宋_GB2312" w:cs="仿宋_GB2312"/>
          <w:b w:val="0"/>
          <w:bCs w:val="0"/>
          <w:color w:val="000007"/>
          <w:spacing w:val="-13"/>
          <w:sz w:val="32"/>
          <w:szCs w:val="32"/>
        </w:rPr>
        <w:t>要素市场发育等领域建设。政府层面上</w:t>
      </w:r>
      <w:r>
        <w:rPr>
          <w:rFonts w:hint="eastAsia" w:ascii="仿宋_GB2312" w:hAnsi="仿宋_GB2312" w:eastAsia="仿宋_GB2312" w:cs="仿宋_GB2312"/>
          <w:b w:val="0"/>
          <w:bCs w:val="0"/>
          <w:color w:val="000007"/>
          <w:spacing w:val="-13"/>
          <w:sz w:val="32"/>
          <w:szCs w:val="32"/>
          <w:lang w:eastAsia="zh-CN"/>
        </w:rPr>
        <w:t>，</w:t>
      </w:r>
      <w:r>
        <w:rPr>
          <w:rFonts w:hint="eastAsia" w:ascii="仿宋_GB2312" w:hAnsi="仿宋_GB2312" w:eastAsia="仿宋_GB2312" w:cs="仿宋_GB2312"/>
          <w:b w:val="0"/>
          <w:bCs w:val="0"/>
          <w:color w:val="000007"/>
          <w:spacing w:val="-13"/>
          <w:sz w:val="32"/>
          <w:szCs w:val="32"/>
        </w:rPr>
        <w:t>完善花卉产业发展</w:t>
      </w:r>
      <w:r>
        <w:rPr>
          <w:rFonts w:hint="eastAsia" w:ascii="仿宋_GB2312" w:hAnsi="仿宋_GB2312" w:eastAsia="仿宋_GB2312" w:cs="仿宋_GB2312"/>
          <w:b w:val="0"/>
          <w:bCs w:val="0"/>
          <w:color w:val="000007"/>
          <w:spacing w:val="-16"/>
          <w:w w:val="95"/>
          <w:sz w:val="32"/>
          <w:szCs w:val="32"/>
        </w:rPr>
        <w:t>相关政策，在产业基础设施建设、土地扶持政策、金融服务、</w:t>
      </w:r>
      <w:r>
        <w:rPr>
          <w:rFonts w:hint="eastAsia" w:ascii="仿宋_GB2312" w:hAnsi="仿宋_GB2312" w:eastAsia="仿宋_GB2312" w:cs="仿宋_GB2312"/>
          <w:b w:val="0"/>
          <w:bCs w:val="0"/>
          <w:color w:val="000007"/>
          <w:spacing w:val="-9"/>
          <w:sz w:val="32"/>
          <w:szCs w:val="32"/>
        </w:rPr>
        <w:t>科技创新、市场服务等制约产业发展的要素建设上，建立快</w:t>
      </w:r>
      <w:r>
        <w:rPr>
          <w:rFonts w:hint="eastAsia" w:ascii="仿宋_GB2312" w:hAnsi="仿宋_GB2312" w:eastAsia="仿宋_GB2312" w:cs="仿宋_GB2312"/>
          <w:b w:val="0"/>
          <w:bCs w:val="0"/>
          <w:color w:val="000007"/>
          <w:spacing w:val="-7"/>
          <w:sz w:val="32"/>
          <w:szCs w:val="32"/>
        </w:rPr>
        <w:t>捷高效机制。积极整合项目资金，加大基础设施投入及服务</w:t>
      </w:r>
      <w:r>
        <w:rPr>
          <w:rFonts w:hint="eastAsia" w:ascii="仿宋_GB2312" w:hAnsi="仿宋_GB2312" w:eastAsia="仿宋_GB2312" w:cs="仿宋_GB2312"/>
          <w:b w:val="0"/>
          <w:bCs w:val="0"/>
          <w:color w:val="000007"/>
          <w:spacing w:val="-16"/>
          <w:w w:val="95"/>
          <w:sz w:val="32"/>
          <w:szCs w:val="32"/>
        </w:rPr>
        <w:t>平台建设，引导助力花卉企业、镇街村产业落地及提升发展，</w:t>
      </w:r>
      <w:r>
        <w:rPr>
          <w:rFonts w:hint="eastAsia" w:ascii="仿宋_GB2312" w:hAnsi="仿宋_GB2312" w:eastAsia="仿宋_GB2312" w:cs="仿宋_GB2312"/>
          <w:b w:val="0"/>
          <w:bCs w:val="0"/>
          <w:color w:val="000007"/>
          <w:spacing w:val="-18"/>
          <w:w w:val="95"/>
          <w:sz w:val="32"/>
          <w:szCs w:val="32"/>
        </w:rPr>
        <w:t>确保项目易落地、易发展、易提升，打造良好产业营商环境。</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8"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7"/>
          <w:spacing w:val="-18"/>
          <w:sz w:val="32"/>
          <w:szCs w:val="32"/>
          <w:lang w:eastAsia="zh-CN"/>
        </w:rPr>
        <w:t>（二）</w:t>
      </w:r>
      <w:r>
        <w:rPr>
          <w:rFonts w:hint="eastAsia" w:ascii="仿宋_GB2312" w:hAnsi="仿宋_GB2312" w:eastAsia="仿宋_GB2312" w:cs="仿宋_GB2312"/>
          <w:b w:val="0"/>
          <w:bCs w:val="0"/>
          <w:color w:val="000007"/>
          <w:spacing w:val="-18"/>
          <w:sz w:val="32"/>
          <w:szCs w:val="32"/>
        </w:rPr>
        <w:t>主强化体培育，实施龙头带动</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7"/>
          <w:sz w:val="32"/>
          <w:szCs w:val="32"/>
        </w:rPr>
        <w:t>实施要素资源非均衡战略与均衡战略协调发展，优先将</w:t>
      </w:r>
      <w:r>
        <w:rPr>
          <w:rFonts w:hint="eastAsia" w:ascii="仿宋_GB2312" w:hAnsi="仿宋_GB2312" w:eastAsia="仿宋_GB2312" w:cs="仿宋_GB2312"/>
          <w:b w:val="0"/>
          <w:bCs w:val="0"/>
          <w:color w:val="000007"/>
          <w:spacing w:val="-3"/>
          <w:w w:val="95"/>
          <w:sz w:val="32"/>
          <w:szCs w:val="32"/>
        </w:rPr>
        <w:t>土地资源、项目资源、科技资源等要素向龙头企业倾斜，尤</w:t>
      </w:r>
      <w:r>
        <w:rPr>
          <w:rFonts w:hint="eastAsia" w:ascii="仿宋_GB2312" w:hAnsi="仿宋_GB2312" w:eastAsia="仿宋_GB2312" w:cs="仿宋_GB2312"/>
          <w:b w:val="0"/>
          <w:bCs w:val="0"/>
          <w:color w:val="000007"/>
          <w:spacing w:val="-5"/>
          <w:sz w:val="32"/>
          <w:szCs w:val="32"/>
        </w:rPr>
        <w:t>其对示范性强、联动效益明显、产品与技术输出强的龙头企</w:t>
      </w:r>
      <w:r>
        <w:rPr>
          <w:rFonts w:hint="eastAsia" w:ascii="仿宋_GB2312" w:hAnsi="仿宋_GB2312" w:eastAsia="仿宋_GB2312" w:cs="仿宋_GB2312"/>
          <w:b w:val="0"/>
          <w:bCs w:val="0"/>
          <w:color w:val="000007"/>
          <w:spacing w:val="-6"/>
          <w:sz w:val="32"/>
          <w:szCs w:val="32"/>
        </w:rPr>
        <w:t>业重点扶持，增强其产业核心驱动力，提升龙头对区域花卉</w:t>
      </w:r>
      <w:r>
        <w:rPr>
          <w:rFonts w:hint="eastAsia" w:ascii="仿宋_GB2312" w:hAnsi="仿宋_GB2312" w:eastAsia="仿宋_GB2312" w:cs="仿宋_GB2312"/>
          <w:b w:val="0"/>
          <w:bCs w:val="0"/>
          <w:color w:val="000007"/>
          <w:spacing w:val="-7"/>
          <w:sz w:val="32"/>
          <w:szCs w:val="32"/>
        </w:rPr>
        <w:t>产业的辐射和带动作用。加大对行业影响力大的知名花卉企</w:t>
      </w:r>
      <w:r>
        <w:rPr>
          <w:rFonts w:hint="eastAsia" w:ascii="仿宋_GB2312" w:hAnsi="仿宋_GB2312" w:eastAsia="仿宋_GB2312" w:cs="仿宋_GB2312"/>
          <w:b w:val="0"/>
          <w:bCs w:val="0"/>
          <w:color w:val="000007"/>
          <w:spacing w:val="-3"/>
          <w:w w:val="95"/>
          <w:sz w:val="32"/>
          <w:szCs w:val="32"/>
        </w:rPr>
        <w:t>业、营销号、科创团队的招引力度，发掘企业发展潜能，示</w:t>
      </w:r>
      <w:r>
        <w:rPr>
          <w:rFonts w:hint="eastAsia" w:ascii="仿宋_GB2312" w:hAnsi="仿宋_GB2312" w:eastAsia="仿宋_GB2312" w:cs="仿宋_GB2312"/>
          <w:b w:val="0"/>
          <w:bCs w:val="0"/>
          <w:color w:val="000007"/>
          <w:spacing w:val="-5"/>
          <w:sz w:val="32"/>
          <w:szCs w:val="32"/>
        </w:rPr>
        <w:t>范与带动同步发展。同时，兼顾产业发展的不平衡性，鼓励</w:t>
      </w:r>
      <w:r>
        <w:rPr>
          <w:rFonts w:hint="eastAsia" w:ascii="仿宋_GB2312" w:hAnsi="仿宋_GB2312" w:eastAsia="仿宋_GB2312" w:cs="仿宋_GB2312"/>
          <w:b w:val="0"/>
          <w:bCs w:val="0"/>
          <w:color w:val="000007"/>
          <w:spacing w:val="-5"/>
          <w:w w:val="95"/>
          <w:sz w:val="32"/>
          <w:szCs w:val="32"/>
        </w:rPr>
        <w:t>家庭农场、合作社、中小型企业联合发展、集聚发展，确保</w:t>
      </w:r>
      <w:r>
        <w:rPr>
          <w:rFonts w:hint="eastAsia" w:ascii="仿宋_GB2312" w:hAnsi="仿宋_GB2312" w:eastAsia="仿宋_GB2312" w:cs="仿宋_GB2312"/>
          <w:b w:val="0"/>
          <w:bCs w:val="0"/>
          <w:color w:val="000007"/>
          <w:spacing w:val="-5"/>
          <w:sz w:val="32"/>
          <w:szCs w:val="32"/>
        </w:rPr>
        <w:t>要素资金、设施装备、服务体系等发挥更大作用。</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color w:val="000007"/>
          <w:sz w:val="32"/>
          <w:szCs w:val="32"/>
        </w:rPr>
      </w:pPr>
      <w:r>
        <w:rPr>
          <w:rFonts w:hint="eastAsia" w:ascii="仿宋_GB2312" w:hAnsi="仿宋_GB2312" w:eastAsia="仿宋_GB2312" w:cs="仿宋_GB2312"/>
          <w:color w:val="000007"/>
          <w:sz w:val="32"/>
          <w:szCs w:val="32"/>
          <w:lang w:eastAsia="zh-CN"/>
        </w:rPr>
        <w:t>（三）</w:t>
      </w:r>
      <w:r>
        <w:rPr>
          <w:rFonts w:hint="eastAsia" w:ascii="仿宋_GB2312" w:hAnsi="仿宋_GB2312" w:eastAsia="仿宋_GB2312" w:cs="仿宋_GB2312"/>
          <w:color w:val="000007"/>
          <w:sz w:val="32"/>
          <w:szCs w:val="32"/>
        </w:rPr>
        <w:t>强化人才建设，实施科技赋能</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7"/>
          <w:sz w:val="32"/>
          <w:szCs w:val="32"/>
        </w:rPr>
        <w:t>加强花卉产业专业技术人才支撑建设。采取多种方式招才引智，既要建立高端人才顶层设计与管理体系，更要强化产业序列各类人才的培育。采取</w:t>
      </w:r>
      <w:r>
        <w:rPr>
          <w:rFonts w:hint="eastAsia" w:ascii="仿宋_GB2312" w:hAnsi="仿宋_GB2312" w:eastAsia="仿宋_GB2312" w:cs="仿宋_GB2312"/>
          <w:b w:val="0"/>
          <w:bCs w:val="0"/>
          <w:color w:val="000007"/>
          <w:sz w:val="32"/>
          <w:szCs w:val="32"/>
          <w:lang w:eastAsia="zh-CN"/>
        </w:rPr>
        <w:t>“</w:t>
      </w:r>
      <w:r>
        <w:rPr>
          <w:rFonts w:hint="eastAsia" w:ascii="仿宋_GB2312" w:hAnsi="仿宋_GB2312" w:eastAsia="仿宋_GB2312" w:cs="仿宋_GB2312"/>
          <w:b w:val="0"/>
          <w:bCs w:val="0"/>
          <w:color w:val="000007"/>
          <w:sz w:val="32"/>
          <w:szCs w:val="32"/>
        </w:rPr>
        <w:t>政府推动、社会化办学、市场化运作</w:t>
      </w:r>
      <w:r>
        <w:rPr>
          <w:rFonts w:hint="eastAsia" w:ascii="仿宋_GB2312" w:hAnsi="仿宋_GB2312" w:eastAsia="仿宋_GB2312" w:cs="仿宋_GB2312"/>
          <w:b w:val="0"/>
          <w:bCs w:val="0"/>
          <w:color w:val="000007"/>
          <w:sz w:val="32"/>
          <w:szCs w:val="32"/>
          <w:lang w:eastAsia="zh-CN"/>
        </w:rPr>
        <w:t>”</w:t>
      </w:r>
      <w:r>
        <w:rPr>
          <w:rFonts w:hint="eastAsia" w:ascii="仿宋_GB2312" w:hAnsi="仿宋_GB2312" w:eastAsia="仿宋_GB2312" w:cs="仿宋_GB2312"/>
          <w:b w:val="0"/>
          <w:bCs w:val="0"/>
          <w:color w:val="000007"/>
          <w:sz w:val="32"/>
          <w:szCs w:val="32"/>
        </w:rPr>
        <w:t>的方式，建立由各级花卉协会、有关院校、花卉企业为主体的花卉产业专业技术人才教育培训体系，加大人才培养力度。</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6"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7"/>
          <w:spacing w:val="-1"/>
          <w:sz w:val="32"/>
          <w:szCs w:val="32"/>
        </w:rPr>
        <w:t>加强花卉产业全链条科技赋能工程建设。从品种源头到</w:t>
      </w:r>
      <w:r>
        <w:rPr>
          <w:rFonts w:hint="eastAsia" w:ascii="仿宋_GB2312" w:hAnsi="仿宋_GB2312" w:eastAsia="仿宋_GB2312" w:cs="仿宋_GB2312"/>
          <w:b w:val="0"/>
          <w:bCs w:val="0"/>
          <w:color w:val="000007"/>
          <w:spacing w:val="-3"/>
          <w:sz w:val="32"/>
          <w:szCs w:val="32"/>
        </w:rPr>
        <w:t>市场终端、从种植技术到节能降耗、从产品研发到服务体系</w:t>
      </w:r>
      <w:r>
        <w:rPr>
          <w:rFonts w:hint="eastAsia" w:ascii="仿宋_GB2312" w:hAnsi="仿宋_GB2312" w:eastAsia="仿宋_GB2312" w:cs="仿宋_GB2312"/>
          <w:b w:val="0"/>
          <w:bCs w:val="0"/>
          <w:color w:val="000007"/>
          <w:spacing w:val="-16"/>
          <w:w w:val="95"/>
          <w:sz w:val="32"/>
          <w:szCs w:val="32"/>
        </w:rPr>
        <w:t>保障、从展会经济到农文旅休闲，全方位实施科技赋能工程。</w:t>
      </w:r>
      <w:r>
        <w:rPr>
          <w:rFonts w:hint="eastAsia" w:ascii="仿宋_GB2312" w:hAnsi="仿宋_GB2312" w:eastAsia="仿宋_GB2312" w:cs="仿宋_GB2312"/>
          <w:b w:val="0"/>
          <w:bCs w:val="0"/>
          <w:color w:val="000007"/>
          <w:spacing w:val="-16"/>
          <w:sz w:val="32"/>
          <w:szCs w:val="32"/>
        </w:rPr>
        <w:t>高起点、高质量、高站位实现商河花卉产业的腾飞。</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color w:val="000007"/>
          <w:sz w:val="32"/>
          <w:szCs w:val="32"/>
        </w:rPr>
      </w:pPr>
      <w:r>
        <w:rPr>
          <w:rFonts w:hint="eastAsia" w:ascii="仿宋_GB2312" w:hAnsi="仿宋_GB2312" w:eastAsia="仿宋_GB2312" w:cs="仿宋_GB2312"/>
          <w:color w:val="000007"/>
          <w:sz w:val="32"/>
          <w:szCs w:val="32"/>
          <w:lang w:eastAsia="zh-CN"/>
        </w:rPr>
        <w:t>（四）</w:t>
      </w:r>
      <w:r>
        <w:rPr>
          <w:rFonts w:hint="eastAsia" w:ascii="仿宋_GB2312" w:hAnsi="仿宋_GB2312" w:eastAsia="仿宋_GB2312" w:cs="仿宋_GB2312"/>
          <w:color w:val="000007"/>
          <w:sz w:val="32"/>
          <w:szCs w:val="32"/>
        </w:rPr>
        <w:t>强化市场建设，实施创新驱动</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6"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7"/>
          <w:spacing w:val="-1"/>
          <w:sz w:val="32"/>
          <w:szCs w:val="32"/>
        </w:rPr>
        <w:t>强化花卉批零市场及电商市场的建设，突出产地市场优</w:t>
      </w:r>
      <w:r>
        <w:rPr>
          <w:rFonts w:hint="eastAsia" w:ascii="仿宋_GB2312" w:hAnsi="仿宋_GB2312" w:eastAsia="仿宋_GB2312" w:cs="仿宋_GB2312"/>
          <w:b w:val="0"/>
          <w:bCs w:val="0"/>
          <w:color w:val="000007"/>
          <w:spacing w:val="-4"/>
          <w:sz w:val="32"/>
          <w:szCs w:val="32"/>
        </w:rPr>
        <w:t>势特色，完善交易与服务平台体系。建立花卉经纪人交易制</w:t>
      </w:r>
      <w:r>
        <w:rPr>
          <w:rFonts w:hint="eastAsia" w:ascii="仿宋_GB2312" w:hAnsi="仿宋_GB2312" w:eastAsia="仿宋_GB2312" w:cs="仿宋_GB2312"/>
          <w:b w:val="0"/>
          <w:bCs w:val="0"/>
          <w:color w:val="000007"/>
          <w:spacing w:val="-4"/>
          <w:w w:val="95"/>
          <w:sz w:val="32"/>
          <w:szCs w:val="32"/>
        </w:rPr>
        <w:t>度，建设大宗花卉产品拍卖系统、花卉供销货信息平台、质</w:t>
      </w:r>
      <w:r>
        <w:rPr>
          <w:rFonts w:hint="eastAsia" w:ascii="仿宋_GB2312" w:hAnsi="仿宋_GB2312" w:eastAsia="仿宋_GB2312" w:cs="仿宋_GB2312"/>
          <w:b w:val="0"/>
          <w:bCs w:val="0"/>
          <w:color w:val="000007"/>
          <w:spacing w:val="-5"/>
          <w:sz w:val="32"/>
          <w:szCs w:val="32"/>
        </w:rPr>
        <w:t>量可追溯系统等；建立冷链物流、仓储中转、包装检验等快</w:t>
      </w:r>
      <w:r>
        <w:rPr>
          <w:rFonts w:hint="eastAsia" w:ascii="仿宋_GB2312" w:hAnsi="仿宋_GB2312" w:eastAsia="仿宋_GB2312" w:cs="仿宋_GB2312"/>
          <w:b w:val="0"/>
          <w:bCs w:val="0"/>
          <w:color w:val="000007"/>
          <w:spacing w:val="-7"/>
          <w:sz w:val="32"/>
          <w:szCs w:val="32"/>
        </w:rPr>
        <w:t>运系统工程。强化市场为主导的信息化工程建设，构建花卉</w:t>
      </w:r>
      <w:r>
        <w:rPr>
          <w:rFonts w:hint="eastAsia" w:ascii="仿宋_GB2312" w:hAnsi="仿宋_GB2312" w:eastAsia="仿宋_GB2312" w:cs="仿宋_GB2312"/>
          <w:b w:val="0"/>
          <w:bCs w:val="0"/>
          <w:color w:val="000007"/>
          <w:sz w:val="32"/>
          <w:szCs w:val="32"/>
        </w:rPr>
        <w:t>行业大数据实时平台，建立生产基地</w:t>
      </w:r>
      <w:r>
        <w:rPr>
          <w:rFonts w:hint="eastAsia" w:ascii="仿宋_GB2312" w:hAnsi="仿宋_GB2312" w:eastAsia="仿宋_GB2312" w:cs="仿宋_GB2312"/>
          <w:b w:val="0"/>
          <w:bCs w:val="0"/>
          <w:color w:val="000007"/>
          <w:sz w:val="32"/>
          <w:szCs w:val="32"/>
          <w:lang w:eastAsia="zh-CN"/>
        </w:rPr>
        <w:t>－</w:t>
      </w:r>
      <w:r>
        <w:rPr>
          <w:rFonts w:hint="eastAsia" w:ascii="仿宋_GB2312" w:hAnsi="仿宋_GB2312" w:eastAsia="仿宋_GB2312" w:cs="仿宋_GB2312"/>
          <w:b w:val="0"/>
          <w:bCs w:val="0"/>
          <w:color w:val="000007"/>
          <w:sz w:val="32"/>
          <w:szCs w:val="32"/>
        </w:rPr>
        <w:t>市场</w:t>
      </w:r>
      <w:r>
        <w:rPr>
          <w:rFonts w:hint="eastAsia" w:ascii="仿宋_GB2312" w:hAnsi="仿宋_GB2312" w:eastAsia="仿宋_GB2312" w:cs="仿宋_GB2312"/>
          <w:b w:val="0"/>
          <w:bCs w:val="0"/>
          <w:color w:val="000007"/>
          <w:sz w:val="32"/>
          <w:szCs w:val="32"/>
          <w:lang w:eastAsia="zh-CN"/>
        </w:rPr>
        <w:t>－</w:t>
      </w:r>
      <w:r>
        <w:rPr>
          <w:rFonts w:hint="eastAsia" w:ascii="仿宋_GB2312" w:hAnsi="仿宋_GB2312" w:eastAsia="仿宋_GB2312" w:cs="仿宋_GB2312"/>
          <w:b w:val="0"/>
          <w:bCs w:val="0"/>
          <w:color w:val="000007"/>
          <w:sz w:val="32"/>
          <w:szCs w:val="32"/>
        </w:rPr>
        <w:t>销售终端信息互通网络体系，引领商河花卉产业进入发展的快车道。</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color w:val="000007"/>
          <w:sz w:val="32"/>
          <w:szCs w:val="32"/>
        </w:rPr>
      </w:pPr>
      <w:r>
        <w:rPr>
          <w:rFonts w:hint="eastAsia" w:ascii="仿宋_GB2312" w:hAnsi="仿宋_GB2312" w:eastAsia="仿宋_GB2312" w:cs="仿宋_GB2312"/>
          <w:color w:val="000007"/>
          <w:sz w:val="32"/>
          <w:szCs w:val="32"/>
          <w:lang w:eastAsia="zh-CN"/>
        </w:rPr>
        <w:t>（五）</w:t>
      </w:r>
      <w:r>
        <w:rPr>
          <w:rFonts w:hint="eastAsia" w:ascii="仿宋_GB2312" w:hAnsi="仿宋_GB2312" w:eastAsia="仿宋_GB2312" w:cs="仿宋_GB2312"/>
          <w:color w:val="000007"/>
          <w:sz w:val="32"/>
          <w:szCs w:val="32"/>
        </w:rPr>
        <w:t>强化品牌建设，实施质量发展</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7"/>
          <w:spacing w:val="-18"/>
          <w:w w:val="99"/>
          <w:sz w:val="32"/>
          <w:szCs w:val="32"/>
        </w:rPr>
        <w:t>实施商河花卉产品品牌发展战略，叫响</w:t>
      </w:r>
      <w:r>
        <w:rPr>
          <w:rFonts w:hint="eastAsia" w:ascii="仿宋_GB2312" w:hAnsi="仿宋_GB2312" w:eastAsia="仿宋_GB2312" w:cs="仿宋_GB2312"/>
          <w:b w:val="0"/>
          <w:bCs w:val="0"/>
          <w:color w:val="000007"/>
          <w:spacing w:val="-18"/>
          <w:w w:val="99"/>
          <w:sz w:val="32"/>
          <w:szCs w:val="32"/>
          <w:lang w:eastAsia="zh-CN"/>
        </w:rPr>
        <w:t>“</w:t>
      </w:r>
      <w:r>
        <w:rPr>
          <w:rFonts w:hint="eastAsia" w:ascii="仿宋_GB2312" w:hAnsi="仿宋_GB2312" w:eastAsia="仿宋_GB2312" w:cs="仿宋_GB2312"/>
          <w:b w:val="0"/>
          <w:bCs w:val="0"/>
          <w:color w:val="000007"/>
          <w:spacing w:val="-18"/>
          <w:w w:val="99"/>
          <w:sz w:val="32"/>
          <w:szCs w:val="32"/>
        </w:rPr>
        <w:t>点赞商河</w:t>
      </w:r>
      <w:r>
        <w:rPr>
          <w:rFonts w:hint="eastAsia" w:ascii="仿宋_GB2312" w:hAnsi="仿宋_GB2312" w:eastAsia="仿宋_GB2312" w:cs="仿宋_GB2312"/>
          <w:b w:val="0"/>
          <w:bCs w:val="0"/>
          <w:color w:val="000007"/>
          <w:spacing w:val="-18"/>
          <w:w w:val="99"/>
          <w:sz w:val="32"/>
          <w:szCs w:val="32"/>
          <w:lang w:eastAsia="zh-CN"/>
        </w:rPr>
        <w:t>”“</w:t>
      </w:r>
      <w:r>
        <w:rPr>
          <w:rFonts w:hint="eastAsia" w:ascii="仿宋_GB2312" w:hAnsi="仿宋_GB2312" w:eastAsia="仿宋_GB2312" w:cs="仿宋_GB2312"/>
          <w:b w:val="0"/>
          <w:bCs w:val="0"/>
          <w:color w:val="000007"/>
          <w:spacing w:val="-18"/>
          <w:w w:val="99"/>
          <w:sz w:val="32"/>
          <w:szCs w:val="32"/>
        </w:rPr>
        <w:t>温</w:t>
      </w:r>
      <w:r>
        <w:rPr>
          <w:rFonts w:hint="eastAsia" w:ascii="仿宋_GB2312" w:hAnsi="仿宋_GB2312" w:eastAsia="仿宋_GB2312" w:cs="仿宋_GB2312"/>
          <w:b w:val="0"/>
          <w:bCs w:val="0"/>
          <w:color w:val="000007"/>
          <w:spacing w:val="-8"/>
          <w:sz w:val="32"/>
          <w:szCs w:val="32"/>
        </w:rPr>
        <w:t>泉花卉</w:t>
      </w:r>
      <w:r>
        <w:rPr>
          <w:rFonts w:hint="eastAsia" w:ascii="仿宋_GB2312" w:hAnsi="仿宋_GB2312" w:eastAsia="仿宋_GB2312" w:cs="仿宋_GB2312"/>
          <w:b w:val="0"/>
          <w:bCs w:val="0"/>
          <w:color w:val="000007"/>
          <w:spacing w:val="-8"/>
          <w:sz w:val="32"/>
          <w:szCs w:val="32"/>
          <w:lang w:eastAsia="zh-CN"/>
        </w:rPr>
        <w:t>”</w:t>
      </w:r>
      <w:r>
        <w:rPr>
          <w:rFonts w:hint="eastAsia" w:ascii="仿宋_GB2312" w:hAnsi="仿宋_GB2312" w:eastAsia="仿宋_GB2312" w:cs="仿宋_GB2312"/>
          <w:b w:val="0"/>
          <w:bCs w:val="0"/>
          <w:color w:val="000007"/>
          <w:spacing w:val="-8"/>
          <w:sz w:val="32"/>
          <w:szCs w:val="32"/>
        </w:rPr>
        <w:t>地理品牌；实施花卉产品质量发展战略，建立生产</w:t>
      </w:r>
      <w:r>
        <w:rPr>
          <w:rFonts w:hint="eastAsia" w:ascii="仿宋_GB2312" w:hAnsi="仿宋_GB2312" w:eastAsia="仿宋_GB2312" w:cs="仿宋_GB2312"/>
          <w:b w:val="0"/>
          <w:bCs w:val="0"/>
          <w:color w:val="000007"/>
          <w:spacing w:val="-9"/>
          <w:sz w:val="32"/>
          <w:szCs w:val="32"/>
        </w:rPr>
        <w:t>标准化体系及质量品控体系，鼓励企业及行业协会出台花卉</w:t>
      </w:r>
      <w:r>
        <w:rPr>
          <w:rFonts w:hint="eastAsia" w:ascii="仿宋_GB2312" w:hAnsi="仿宋_GB2312" w:eastAsia="仿宋_GB2312" w:cs="仿宋_GB2312"/>
          <w:b w:val="0"/>
          <w:bCs w:val="0"/>
          <w:color w:val="000007"/>
          <w:sz w:val="32"/>
          <w:szCs w:val="32"/>
        </w:rPr>
        <w:t>行业标准；实施地理标识、企业品牌、产品品牌创建工程；实施品牌推介、策划宣传、节庆展会、新媒体等多途径品牌营销，推动商河花卉跨越式发展。</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1.2.4 </w:t>
      </w:r>
      <w:r>
        <w:rPr>
          <w:rFonts w:hint="eastAsia" w:ascii="仿宋_GB2312" w:hAnsi="仿宋_GB2312" w:eastAsia="仿宋_GB2312" w:cs="仿宋_GB2312"/>
          <w:b/>
          <w:bCs/>
          <w:sz w:val="32"/>
          <w:szCs w:val="32"/>
          <w:lang w:eastAsia="zh-CN"/>
        </w:rPr>
        <w:t>规划布局</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总体布局</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基于</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十三五</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商河花卉产业发展分析，结合</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十四五</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商河县现代高效农业发展规划要求，按照商河县花卉产业发展的目标和定位，以调结构、强产业、建标准、补短板、提质量、扩市场、增效益为目的，深度融合加工、文旅等新产业业态，实施花卉产业集群发展战略，着力推进商河县花卉产业可持续高质量发展。由此，商河县花卉产业的总体布局为：以产业优势片区为核心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一核、一轴、三环、五群</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总体发展格局。整体发展包含商河西部六个乡镇（许商街道、贾庄镇、玉皇庙镇、殷巷镇、张坊镇、怀仁镇）。</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花卉产业重点发展片区主要涵盖许商街道、贾庄镇、玉皇庙镇、殷巷镇以及张坊镇与孙集镇部分区域。总面积约450平方公里。</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（一）</w:t>
      </w:r>
      <w:r>
        <w:rPr>
          <w:rFonts w:hint="eastAsia" w:ascii="仿宋_GB2312" w:hAnsi="仿宋_GB2312" w:eastAsia="仿宋_GB2312" w:cs="仿宋_GB2312"/>
          <w:spacing w:val="-2"/>
          <w:sz w:val="32"/>
          <w:szCs w:val="32"/>
        </w:rPr>
        <w:t>一核</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以商河县国家农业科技园区为核心的花卉产业聚能核。承载科技聚集、信息整合、人才培育、项目孵化等活力功能。</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632" w:firstLineChars="200"/>
        <w:jc w:val="both"/>
        <w:textAlignment w:val="auto"/>
        <w:outlineLvl w:val="9"/>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（二）一轴</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商中路与商中河贯穿商河南北，既是商河城乡发展的中轴，也是商河花卉产业与文旅生态融合延伸的中轴。</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（三）三环</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内环（融创智慧环）：由温泉路、商中路、富民路及由温泉路西首郊野公园北延（新建）连接形成的城区快速交通发展内环。集中展示商河花城、温泉城的文化发展特色。</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中环（产融发展环）：由城区南侧、东侧的G340国道、城区东侧及北侧的S240省道以及西侧连通线（新建）闭环形成的城乡产融发展环。是城市发展与产业孵化、聚集的融合干道。</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外环（产业发展环）：为连通花卉产业核心发展区的主要路径。内侧为产业发展聚集区，外侧为产业辐射扩展区。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（四）五群</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根据商河县花卉产业发展现状，从龙头带动、资源整合发展的角度布局商河未来产业发展集群，实现由产业集聚到产业集群发展的目标。规划建设的五大产业集群为——</w:t>
      </w:r>
    </w:p>
    <w:p>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600" w:lineRule="exact"/>
        <w:ind w:left="0" w:leftChars="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设施盆花及种苗产业集群</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以国家农业科技园区为核心，融合周边产业园区，打造以大型现代化温室设施为主导的产业集聚区。是高端盆花、种苗核心产业发展基地。充分利用商河温泉地热资源，建设智能化、低能耗、高标准的高效设施花卉产业集群。</w:t>
      </w:r>
    </w:p>
    <w:p>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600" w:lineRule="exact"/>
        <w:ind w:left="0" w:leftChars="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草花产业集群</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包含贾庄镇、玉皇庙镇草花产业片区，以玉沣花卉现代农业产业园和易祥智慧生态花卉产业园为核心集聚区，以设施草花、露地草本花卉植物为产业主导，建设生产规模化、产品优质化、市场反应快捷的草花产业集聚区。</w:t>
      </w:r>
    </w:p>
    <w:p>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600" w:lineRule="exact"/>
        <w:ind w:left="0" w:leftChars="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切花产业集群</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以许商街道马官寨、孙家鲜切花生产基地为核心发展区，整合资源，完善配套建设，建设切花产业集聚区，打造商河花卉新的优势主导产业群。</w:t>
      </w:r>
    </w:p>
    <w:p>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600" w:lineRule="exact"/>
        <w:ind w:left="0" w:leftChars="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食药花卉产业集群</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以殷巷镇留兰香产业基地为核心，拓展功能型花卉产业发展规模，建立药用、食用、加工用等功能花卉发展特色产业群。包含种植基地建设、加工基地建设及康养休闲基地建设三大部分。</w:t>
      </w:r>
    </w:p>
    <w:p>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600" w:lineRule="exact"/>
        <w:ind w:left="0" w:leftChars="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花木融创产业集群</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firstLine="632" w:firstLineChars="200"/>
        <w:jc w:val="both"/>
        <w:textAlignment w:val="auto"/>
        <w:outlineLvl w:val="9"/>
        <w:rPr>
          <w:rFonts w:ascii="Times New Roman" w:hAnsi="Times New Roman" w:eastAsia="宋体"/>
          <w:spacing w:val="-2"/>
          <w:sz w:val="28"/>
        </w:rPr>
      </w:pPr>
      <w:r>
        <w:rPr>
          <w:rFonts w:hint="eastAsia" w:ascii="仿宋_GB2312" w:hAnsi="仿宋_GB2312" w:eastAsia="仿宋_GB2312" w:cs="仿宋_GB2312"/>
          <w:spacing w:val="-2"/>
          <w:sz w:val="32"/>
          <w:szCs w:val="32"/>
        </w:rPr>
        <w:t>利用京沪高速、G340国道交通区位优势及花卉产业发展基础，打造集花卉基地拓展、仓储中转物流、花卉衍生产业发展等多功能服务及新产业业态发展的集聚区。</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firstLine="400" w:firstLineChars="200"/>
        <w:jc w:val="both"/>
        <w:textAlignment w:val="auto"/>
        <w:rPr>
          <w:rFonts w:ascii="Times New Roman" w:hAnsi="Times New Roman" w:eastAsia="宋体"/>
          <w:sz w:val="20"/>
        </w:rPr>
        <w:sectPr>
          <w:footerReference r:id="rId5" w:type="default"/>
          <w:type w:val="continuous"/>
          <w:pgSz w:w="11910" w:h="16840"/>
          <w:pgMar w:top="1417" w:right="1417" w:bottom="1417" w:left="1417" w:header="0" w:footer="1193" w:gutter="0"/>
          <w:cols w:space="720" w:num="1"/>
        </w:sectPr>
      </w:pPr>
    </w:p>
    <w:p>
      <w:pPr>
        <w:pStyle w:val="2"/>
        <w:keepNext w:val="0"/>
        <w:keepLines w:val="0"/>
        <w:pageBreakBefore w:val="0"/>
        <w:widowControl w:val="0"/>
        <w:tabs>
          <w:tab w:val="left" w:pos="3171"/>
        </w:tabs>
        <w:kinsoku/>
        <w:wordWrap/>
        <w:overflowPunct/>
        <w:topLinePunct w:val="0"/>
        <w:autoSpaceDE w:val="0"/>
        <w:autoSpaceDN w:val="0"/>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val="0"/>
          <w:bCs w:val="0"/>
          <w:sz w:val="44"/>
          <w:szCs w:val="44"/>
        </w:rPr>
      </w:pPr>
      <w:bookmarkStart w:id="9" w:name="_Toc9309"/>
      <w:r>
        <w:rPr>
          <w:rFonts w:hint="eastAsia" w:ascii="方正小标宋简体" w:hAnsi="方正小标宋简体" w:eastAsia="方正小标宋简体" w:cs="方正小标宋简体"/>
          <w:b w:val="0"/>
          <w:bCs w:val="0"/>
          <w:w w:val="95"/>
          <w:sz w:val="44"/>
          <w:szCs w:val="44"/>
        </w:rPr>
        <w:t>第二章</w:t>
      </w:r>
      <w:r>
        <w:rPr>
          <w:rFonts w:hint="eastAsia" w:ascii="方正小标宋简体" w:hAnsi="方正小标宋简体" w:eastAsia="方正小标宋简体" w:cs="方正小标宋简体"/>
          <w:b w:val="0"/>
          <w:bCs w:val="0"/>
          <w:w w:val="95"/>
          <w:sz w:val="44"/>
          <w:szCs w:val="44"/>
          <w:lang w:val="en-US" w:eastAsia="zh-CN"/>
        </w:rPr>
        <w:t xml:space="preserve"> </w:t>
      </w:r>
      <w:r>
        <w:rPr>
          <w:rFonts w:hint="eastAsia" w:ascii="方正小标宋简体" w:hAnsi="方正小标宋简体" w:eastAsia="方正小标宋简体" w:cs="方正小标宋简体"/>
          <w:b w:val="0"/>
          <w:bCs w:val="0"/>
          <w:w w:val="95"/>
          <w:sz w:val="44"/>
          <w:szCs w:val="44"/>
        </w:rPr>
        <w:t>风险调查</w:t>
      </w:r>
      <w:bookmarkEnd w:id="9"/>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0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风险调查是风险分析的基础工作，风险调查的成果不仅是评估报</w:t>
      </w:r>
      <w:r>
        <w:rPr>
          <w:rFonts w:hint="eastAsia" w:ascii="仿宋_GB2312" w:hAnsi="仿宋_GB2312" w:eastAsia="仿宋_GB2312" w:cs="仿宋_GB2312"/>
          <w:spacing w:val="-2"/>
          <w:sz w:val="32"/>
          <w:szCs w:val="32"/>
        </w:rPr>
        <w:t>告的重要组成部分，同时也是风险识别、风险估计、风险等级判断和</w:t>
      </w:r>
      <w:r>
        <w:rPr>
          <w:rFonts w:hint="eastAsia" w:ascii="仿宋_GB2312" w:hAnsi="仿宋_GB2312" w:eastAsia="仿宋_GB2312" w:cs="仿宋_GB2312"/>
          <w:spacing w:val="-14"/>
          <w:sz w:val="32"/>
          <w:szCs w:val="32"/>
        </w:rPr>
        <w:t>制定风险防范、化解措施的基础和依据。根据发改办投资〔</w:t>
      </w:r>
      <w:r>
        <w:rPr>
          <w:rFonts w:hint="eastAsia" w:ascii="仿宋_GB2312" w:hAnsi="仿宋_GB2312" w:eastAsia="仿宋_GB2312" w:cs="仿宋_GB2312"/>
          <w:spacing w:val="-2"/>
          <w:sz w:val="32"/>
          <w:szCs w:val="32"/>
        </w:rPr>
        <w:t>2013</w:t>
      </w:r>
      <w:r>
        <w:rPr>
          <w:rFonts w:hint="eastAsia" w:ascii="仿宋_GB2312" w:hAnsi="仿宋_GB2312" w:eastAsia="仿宋_GB2312" w:cs="仿宋_GB2312"/>
          <w:spacing w:val="-60"/>
          <w:sz w:val="32"/>
          <w:szCs w:val="32"/>
        </w:rPr>
        <w:t>〕</w:t>
      </w:r>
      <w:r>
        <w:rPr>
          <w:rFonts w:hint="eastAsia" w:ascii="仿宋_GB2312" w:hAnsi="仿宋_GB2312" w:eastAsia="仿宋_GB2312" w:cs="仿宋_GB2312"/>
          <w:spacing w:val="-2"/>
          <w:sz w:val="32"/>
          <w:szCs w:val="32"/>
        </w:rPr>
        <w:t>428</w:t>
      </w:r>
      <w:r>
        <w:rPr>
          <w:rFonts w:hint="eastAsia" w:ascii="仿宋_GB2312" w:hAnsi="仿宋_GB2312" w:eastAsia="仿宋_GB2312" w:cs="仿宋_GB2312"/>
          <w:spacing w:val="-18"/>
          <w:sz w:val="32"/>
          <w:szCs w:val="32"/>
        </w:rPr>
        <w:t>号的要求，本决策社会风险调查重点从本规划纲要的合法性、合理性、</w:t>
      </w:r>
      <w:r>
        <w:rPr>
          <w:rFonts w:hint="eastAsia" w:ascii="仿宋_GB2312" w:hAnsi="仿宋_GB2312" w:eastAsia="仿宋_GB2312" w:cs="仿宋_GB2312"/>
          <w:spacing w:val="-2"/>
          <w:sz w:val="32"/>
          <w:szCs w:val="32"/>
        </w:rPr>
        <w:t>可行性以及风险可控性。规划实施可能对当地经济社会的影响、利益</w:t>
      </w:r>
      <w:r>
        <w:rPr>
          <w:rFonts w:hint="eastAsia" w:ascii="仿宋_GB2312" w:hAnsi="仿宋_GB2312" w:eastAsia="仿宋_GB2312" w:cs="仿宋_GB2312"/>
          <w:spacing w:val="-7"/>
          <w:sz w:val="32"/>
          <w:szCs w:val="32"/>
        </w:rPr>
        <w:t>相关者对本规划纲要实施的意见和诉求、当地政府及其有关部门本规</w:t>
      </w:r>
      <w:r>
        <w:rPr>
          <w:rFonts w:hint="eastAsia" w:ascii="仿宋_GB2312" w:hAnsi="仿宋_GB2312" w:eastAsia="仿宋_GB2312" w:cs="仿宋_GB2312"/>
          <w:spacing w:val="-2"/>
          <w:sz w:val="32"/>
          <w:szCs w:val="32"/>
        </w:rPr>
        <w:t>划纲要的态度等方面开展调查。</w:t>
      </w:r>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bookmarkStart w:id="10" w:name="_Toc17840"/>
      <w:r>
        <w:rPr>
          <w:rFonts w:hint="eastAsia" w:ascii="仿宋_GB2312" w:hAnsi="仿宋_GB2312" w:eastAsia="仿宋_GB2312" w:cs="仿宋_GB2312"/>
          <w:spacing w:val="-4"/>
          <w:sz w:val="32"/>
          <w:szCs w:val="32"/>
          <w:lang w:val="en-US" w:eastAsia="zh-CN"/>
        </w:rPr>
        <w:t xml:space="preserve">2.1 </w:t>
      </w:r>
      <w:r>
        <w:rPr>
          <w:rFonts w:hint="eastAsia" w:ascii="仿宋_GB2312" w:hAnsi="仿宋_GB2312" w:eastAsia="仿宋_GB2312" w:cs="仿宋_GB2312"/>
          <w:spacing w:val="-4"/>
          <w:sz w:val="32"/>
          <w:szCs w:val="32"/>
        </w:rPr>
        <w:t>调查内容</w:t>
      </w:r>
      <w:bookmarkEnd w:id="10"/>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4" w:firstLineChars="200"/>
        <w:jc w:val="both"/>
        <w:textAlignment w:val="auto"/>
        <w:outlineLvl w:val="9"/>
        <w:rPr>
          <w:rFonts w:hint="eastAsia" w:ascii="仿宋_GB2312" w:hAnsi="仿宋_GB2312" w:eastAsia="仿宋_GB2312" w:cs="仿宋_GB2312"/>
          <w:spacing w:val="-4"/>
          <w:sz w:val="32"/>
          <w:szCs w:val="32"/>
          <w:lang w:val="en-US" w:eastAsia="zh-CN" w:bidi="ar-SA"/>
        </w:rPr>
      </w:pPr>
      <w:r>
        <w:rPr>
          <w:rFonts w:hint="eastAsia" w:ascii="仿宋_GB2312" w:hAnsi="仿宋_GB2312" w:eastAsia="仿宋_GB2312" w:cs="仿宋_GB2312"/>
          <w:spacing w:val="-4"/>
          <w:sz w:val="32"/>
          <w:szCs w:val="32"/>
        </w:rPr>
        <w:t>根据商河县</w:t>
      </w:r>
      <w:r>
        <w:rPr>
          <w:rFonts w:hint="eastAsia" w:ascii="仿宋_GB2312" w:hAnsi="仿宋_GB2312" w:eastAsia="仿宋_GB2312" w:cs="仿宋_GB2312"/>
          <w:spacing w:val="-4"/>
          <w:sz w:val="32"/>
          <w:szCs w:val="32"/>
          <w:lang w:eastAsia="zh-CN"/>
        </w:rPr>
        <w:t>花卉产业“十四五”</w:t>
      </w:r>
      <w:r>
        <w:rPr>
          <w:rFonts w:hint="eastAsia" w:ascii="仿宋_GB2312" w:hAnsi="仿宋_GB2312" w:eastAsia="仿宋_GB2312" w:cs="仿宋_GB2312"/>
          <w:spacing w:val="-4"/>
          <w:sz w:val="32"/>
          <w:szCs w:val="32"/>
        </w:rPr>
        <w:t>发展规划的实际情况，围绕该本规划纲要的合法性、合理性、可行性和风险可控性，结合规划方案，运用收集整理现有资料、相关会议及意见征询等形式相结合的方法，向相关政府部门、专家学者及社会公众征求针对本规划纲要的意</w:t>
      </w:r>
      <w:r>
        <w:rPr>
          <w:rFonts w:hint="eastAsia" w:ascii="仿宋_GB2312" w:hAnsi="仿宋_GB2312" w:eastAsia="仿宋_GB2312" w:cs="仿宋_GB2312"/>
          <w:spacing w:val="-2"/>
          <w:sz w:val="32"/>
          <w:szCs w:val="32"/>
        </w:rPr>
        <w:t>见和</w:t>
      </w:r>
      <w:r>
        <w:rPr>
          <w:rFonts w:hint="eastAsia" w:ascii="仿宋_GB2312" w:hAnsi="仿宋_GB2312" w:eastAsia="仿宋_GB2312" w:cs="仿宋_GB2312"/>
          <w:spacing w:val="-4"/>
          <w:sz w:val="32"/>
          <w:szCs w:val="32"/>
          <w:lang w:val="en-US" w:eastAsia="zh-CN" w:bidi="ar-SA"/>
        </w:rPr>
        <w:t>建议，深入开展风险调查。</w:t>
      </w:r>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left="0" w:leftChars="0" w:right="0" w:rightChars="0" w:firstLine="624" w:firstLineChars="200"/>
        <w:jc w:val="both"/>
        <w:textAlignment w:val="auto"/>
        <w:outlineLvl w:val="9"/>
        <w:rPr>
          <w:rFonts w:hint="eastAsia" w:ascii="仿宋_GB2312" w:hAnsi="仿宋_GB2312" w:eastAsia="仿宋_GB2312" w:cs="仿宋_GB2312"/>
          <w:spacing w:val="-4"/>
          <w:sz w:val="32"/>
          <w:szCs w:val="32"/>
          <w:lang w:val="en-US" w:eastAsia="zh-CN"/>
        </w:rPr>
      </w:pPr>
      <w:bookmarkStart w:id="11" w:name="_Toc26496"/>
      <w:r>
        <w:rPr>
          <w:rFonts w:hint="eastAsia" w:ascii="仿宋_GB2312" w:hAnsi="仿宋_GB2312" w:eastAsia="仿宋_GB2312" w:cs="仿宋_GB2312"/>
          <w:spacing w:val="-4"/>
          <w:sz w:val="32"/>
          <w:szCs w:val="32"/>
          <w:lang w:val="en-US" w:eastAsia="zh-CN"/>
        </w:rPr>
        <w:t>2.2 意见征询范围及对象</w:t>
      </w:r>
      <w:bookmarkEnd w:id="11"/>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1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本规划纲要社会稳定风险调查范围主要包括：规划制定和实施过程中可能引发的影响社会稳定的各种风险因素，主要包括规划范围内</w:t>
      </w:r>
      <w:r>
        <w:rPr>
          <w:rFonts w:hint="eastAsia" w:ascii="仿宋_GB2312" w:hAnsi="仿宋_GB2312" w:eastAsia="仿宋_GB2312" w:cs="仿宋_GB2312"/>
          <w:spacing w:val="-4"/>
          <w:sz w:val="32"/>
          <w:szCs w:val="32"/>
        </w:rPr>
        <w:t>的相关各级政府部门、利益群体对决策所持态度、意见、建议以及规</w:t>
      </w:r>
      <w:r>
        <w:rPr>
          <w:rFonts w:hint="eastAsia" w:ascii="仿宋_GB2312" w:hAnsi="仿宋_GB2312" w:eastAsia="仿宋_GB2312" w:cs="仿宋_GB2312"/>
          <w:spacing w:val="-2"/>
          <w:sz w:val="32"/>
          <w:szCs w:val="32"/>
        </w:rPr>
        <w:t>划过程中可能产生的各类负面影响等。</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在社会稳定调查期间，自</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pacing w:val="-18"/>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月起开始向相关政府部门、</w:t>
      </w:r>
      <w:r>
        <w:rPr>
          <w:rFonts w:hint="eastAsia" w:ascii="仿宋_GB2312" w:hAnsi="仿宋_GB2312" w:eastAsia="仿宋_GB2312" w:cs="仿宋_GB2312"/>
          <w:spacing w:val="-4"/>
          <w:sz w:val="32"/>
          <w:szCs w:val="32"/>
        </w:rPr>
        <w:t>企事业单位、社会公众等相关利益群体广泛征求关于规划的意见、建议。规划编制过程中始终坚持开门编规划原则，不断提升公众参与力</w:t>
      </w:r>
      <w:r>
        <w:rPr>
          <w:rFonts w:hint="eastAsia" w:ascii="仿宋_GB2312" w:hAnsi="仿宋_GB2312" w:eastAsia="仿宋_GB2312" w:cs="仿宋_GB2312"/>
          <w:spacing w:val="-2"/>
          <w:sz w:val="32"/>
          <w:szCs w:val="32"/>
        </w:rPr>
        <w:t>度。公众参与情况如下：</w:t>
      </w:r>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left="0" w:leftChars="0" w:right="0" w:rightChars="0" w:firstLine="624" w:firstLineChars="200"/>
        <w:jc w:val="both"/>
        <w:textAlignment w:val="auto"/>
        <w:outlineLvl w:val="9"/>
        <w:rPr>
          <w:rFonts w:hint="eastAsia" w:ascii="仿宋_GB2312" w:hAnsi="仿宋_GB2312" w:eastAsia="仿宋_GB2312" w:cs="仿宋_GB2312"/>
          <w:spacing w:val="-2"/>
          <w:sz w:val="32"/>
          <w:szCs w:val="32"/>
          <w:highlight w:val="none"/>
          <w:lang w:val="en-US" w:eastAsia="zh-CN"/>
        </w:rPr>
      </w:pPr>
      <w:bookmarkStart w:id="12" w:name="_Toc4967"/>
      <w:bookmarkStart w:id="13" w:name="_Toc8080"/>
      <w:bookmarkStart w:id="14" w:name="_Toc15419"/>
      <w:r>
        <w:rPr>
          <w:rFonts w:hint="eastAsia" w:ascii="仿宋_GB2312" w:hAnsi="仿宋_GB2312" w:eastAsia="仿宋_GB2312" w:cs="仿宋_GB2312"/>
          <w:spacing w:val="-4"/>
          <w:sz w:val="32"/>
          <w:szCs w:val="32"/>
          <w:lang w:val="en-US" w:eastAsia="zh-CN" w:bidi="ar-SA"/>
        </w:rPr>
        <w:t>1、面向社会征求意见。2021年10月形成初稿文件，提出“一核一</w:t>
      </w:r>
      <w:r>
        <w:rPr>
          <w:rFonts w:hint="eastAsia" w:ascii="仿宋_GB2312" w:hAnsi="仿宋_GB2312" w:eastAsia="仿宋_GB2312" w:cs="仿宋_GB2312"/>
          <w:spacing w:val="-1"/>
          <w:sz w:val="32"/>
          <w:szCs w:val="32"/>
          <w:highlight w:val="none"/>
          <w:lang w:eastAsia="zh-CN"/>
        </w:rPr>
        <w:t>轴三环五群”</w:t>
      </w:r>
      <w:r>
        <w:rPr>
          <w:rFonts w:hint="eastAsia" w:ascii="仿宋_GB2312" w:hAnsi="仿宋_GB2312" w:eastAsia="仿宋_GB2312" w:cs="仿宋_GB2312"/>
          <w:spacing w:val="-14"/>
          <w:sz w:val="32"/>
          <w:szCs w:val="32"/>
          <w:highlight w:val="none"/>
        </w:rPr>
        <w:t>的产业布局，并于</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pacing w:val="-37"/>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pacing w:val="-36"/>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pacing w:val="-1"/>
          <w:sz w:val="32"/>
          <w:szCs w:val="32"/>
          <w:highlight w:val="none"/>
        </w:rPr>
        <w:t>日组织了第一次大型汇报</w:t>
      </w:r>
      <w:r>
        <w:rPr>
          <w:rFonts w:hint="eastAsia" w:ascii="仿宋_GB2312" w:hAnsi="仿宋_GB2312" w:eastAsia="仿宋_GB2312" w:cs="仿宋_GB2312"/>
          <w:spacing w:val="-2"/>
          <w:sz w:val="32"/>
          <w:szCs w:val="32"/>
          <w:highlight w:val="none"/>
        </w:rPr>
        <w:t>会议，</w:t>
      </w:r>
      <w:r>
        <w:rPr>
          <w:rFonts w:hint="eastAsia" w:ascii="仿宋_GB2312" w:hAnsi="仿宋_GB2312" w:eastAsia="仿宋_GB2312" w:cs="仿宋_GB2312"/>
          <w:spacing w:val="-2"/>
          <w:sz w:val="32"/>
          <w:szCs w:val="32"/>
          <w:highlight w:val="none"/>
          <w:lang w:val="en-US" w:eastAsia="zh-CN"/>
        </w:rPr>
        <w:t>旦增曲央副县长肯定了花卉产业规划编制成果，并对下一步修改与完善规划提出要求：一是花卉产业要与十四五现代高效农业规划相衔接，与文旅，水务等专项规划相衔接。二是在立足商河花卉产业发展实际，找准发展目标定位，重点在政策扶持、要素供给、人才培养、金融服务等政策保障方面精准谋划，让规划更具有具体性、前瞻性、科学性、可操作性，努力为打造中国北方温泉花卉硅谷提供科学依据和指导。</w:t>
      </w:r>
      <w:bookmarkEnd w:id="12"/>
      <w:bookmarkEnd w:id="13"/>
      <w:bookmarkEnd w:id="14"/>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2、多方征求文本意见。规划编制以来，已针对基本思路和纲要</w:t>
      </w:r>
      <w:r>
        <w:rPr>
          <w:rFonts w:hint="eastAsia" w:ascii="仿宋_GB2312" w:hAnsi="仿宋_GB2312" w:eastAsia="仿宋_GB2312" w:cs="仿宋_GB2312"/>
          <w:spacing w:val="-3"/>
          <w:sz w:val="32"/>
          <w:szCs w:val="32"/>
        </w:rPr>
        <w:t>文本在区县、市直各部门、委内处室征求意见</w:t>
      </w:r>
      <w:r>
        <w:rPr>
          <w:rFonts w:hint="eastAsia" w:ascii="仿宋_GB2312" w:hAnsi="仿宋_GB2312" w:eastAsia="仿宋_GB2312" w:cs="仿宋_GB2312"/>
          <w:sz w:val="32"/>
          <w:szCs w:val="32"/>
        </w:rPr>
        <w:t>10</w:t>
      </w:r>
      <w:r>
        <w:rPr>
          <w:rFonts w:hint="eastAsia" w:ascii="仿宋_GB2312" w:hAnsi="仿宋_GB2312" w:eastAsia="仿宋_GB2312" w:cs="仿宋_GB2312"/>
          <w:spacing w:val="-2"/>
          <w:sz w:val="32"/>
          <w:szCs w:val="32"/>
        </w:rPr>
        <w:t>余次，累计收到意</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56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见建议</w:t>
      </w:r>
      <w:r>
        <w:rPr>
          <w:rFonts w:hint="eastAsia" w:ascii="仿宋_GB2312" w:hAnsi="仿宋_GB2312" w:eastAsia="仿宋_GB2312" w:cs="仿宋_GB2312"/>
          <w:spacing w:val="-2"/>
          <w:sz w:val="32"/>
          <w:szCs w:val="32"/>
        </w:rPr>
        <w:t>100</w:t>
      </w:r>
      <w:r>
        <w:rPr>
          <w:rFonts w:hint="eastAsia" w:ascii="仿宋_GB2312" w:hAnsi="仿宋_GB2312" w:eastAsia="仿宋_GB2312" w:cs="仿宋_GB2312"/>
          <w:spacing w:val="-3"/>
          <w:sz w:val="32"/>
          <w:szCs w:val="32"/>
        </w:rPr>
        <w:t>余条，经沟通对接，不断修改完善。</w:t>
      </w:r>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bookmarkStart w:id="15" w:name="_Toc13218"/>
      <w:r>
        <w:rPr>
          <w:rFonts w:hint="eastAsia" w:ascii="仿宋_GB2312" w:hAnsi="仿宋_GB2312" w:eastAsia="仿宋_GB2312" w:cs="仿宋_GB2312"/>
          <w:spacing w:val="-3"/>
          <w:sz w:val="32"/>
          <w:szCs w:val="32"/>
          <w:lang w:val="en-US" w:eastAsia="zh-CN"/>
        </w:rPr>
        <w:t>2.3</w:t>
      </w:r>
      <w:r>
        <w:rPr>
          <w:rFonts w:hint="eastAsia" w:ascii="仿宋_GB2312" w:hAnsi="仿宋_GB2312" w:eastAsia="仿宋_GB2312" w:cs="仿宋_GB2312"/>
          <w:spacing w:val="-3"/>
          <w:sz w:val="32"/>
          <w:szCs w:val="32"/>
        </w:rPr>
        <w:t>本规划纲要实施的合法性、合理性、可行性及风险可控性评</w:t>
      </w:r>
      <w:r>
        <w:rPr>
          <w:rFonts w:hint="eastAsia" w:ascii="仿宋_GB2312" w:hAnsi="仿宋_GB2312" w:eastAsia="仿宋_GB2312" w:cs="仿宋_GB2312"/>
          <w:w w:val="100"/>
          <w:sz w:val="32"/>
          <w:szCs w:val="32"/>
        </w:rPr>
        <w:t>估</w:t>
      </w:r>
      <w:bookmarkEnd w:id="15"/>
    </w:p>
    <w:p>
      <w:pPr>
        <w:pStyle w:val="13"/>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60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bookmarkStart w:id="16" w:name="_bookmark14"/>
      <w:bookmarkEnd w:id="16"/>
      <w:r>
        <w:rPr>
          <w:rFonts w:hint="eastAsia" w:ascii="仿宋_GB2312" w:hAnsi="仿宋_GB2312" w:eastAsia="仿宋_GB2312" w:cs="仿宋_GB2312"/>
          <w:spacing w:val="-3"/>
          <w:sz w:val="32"/>
          <w:szCs w:val="32"/>
          <w:lang w:val="en-US" w:eastAsia="zh-CN"/>
        </w:rPr>
        <w:t>2.3.1</w:t>
      </w:r>
      <w:r>
        <w:rPr>
          <w:rFonts w:hint="eastAsia" w:ascii="仿宋_GB2312" w:hAnsi="仿宋_GB2312" w:eastAsia="仿宋_GB2312" w:cs="仿宋_GB2312"/>
          <w:spacing w:val="-3"/>
          <w:sz w:val="32"/>
          <w:szCs w:val="32"/>
        </w:rPr>
        <w:t>本规划纲要的合法性评估</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59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本规划纲要充分衔接了《中华人民共和国国民经济和社会发展第</w:t>
      </w:r>
      <w:r>
        <w:rPr>
          <w:rFonts w:hint="eastAsia" w:ascii="仿宋_GB2312" w:hAnsi="仿宋_GB2312" w:eastAsia="仿宋_GB2312" w:cs="仿宋_GB2312"/>
          <w:spacing w:val="-5"/>
          <w:sz w:val="32"/>
          <w:szCs w:val="32"/>
        </w:rPr>
        <w:t>十四个五年规划和二〇三五年远景目标纲要</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山东省国民经济和社会发展第十四个五年规划和二〇三五年远景目标纲要</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中共济</w:t>
      </w:r>
      <w:r>
        <w:rPr>
          <w:rFonts w:hint="eastAsia" w:ascii="仿宋_GB2312" w:hAnsi="仿宋_GB2312" w:eastAsia="仿宋_GB2312" w:cs="仿宋_GB2312"/>
          <w:spacing w:val="-2"/>
          <w:sz w:val="32"/>
          <w:szCs w:val="32"/>
        </w:rPr>
        <w:t>南市委关于制定济南市国民经济和社会发展第十四个五年规划和二</w:t>
      </w:r>
      <w:r>
        <w:rPr>
          <w:rFonts w:hint="eastAsia" w:ascii="仿宋_GB2312" w:hAnsi="仿宋_GB2312" w:eastAsia="仿宋_GB2312" w:cs="仿宋_GB2312"/>
          <w:spacing w:val="-7"/>
          <w:sz w:val="32"/>
          <w:szCs w:val="32"/>
        </w:rPr>
        <w:t>〇三五年远景目标的建议</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商河县国民经济和社会发展第十四个</w:t>
      </w:r>
      <w:r>
        <w:rPr>
          <w:rFonts w:hint="eastAsia" w:ascii="仿宋_GB2312" w:hAnsi="仿宋_GB2312" w:eastAsia="仿宋_GB2312" w:cs="仿宋_GB2312"/>
          <w:spacing w:val="-4"/>
          <w:sz w:val="32"/>
          <w:szCs w:val="32"/>
        </w:rPr>
        <w:t>五年规划和二〇三五年远景目标纲要》等相关规划要求，符合国土空间规划、土地利用总体规划、城乡规划和专项规划等文件的要求，列</w:t>
      </w:r>
      <w:r>
        <w:rPr>
          <w:rFonts w:hint="eastAsia" w:ascii="仿宋_GB2312" w:hAnsi="仿宋_GB2312" w:eastAsia="仿宋_GB2312" w:cs="仿宋_GB2312"/>
          <w:spacing w:val="-11"/>
          <w:sz w:val="32"/>
          <w:szCs w:val="32"/>
        </w:rPr>
        <w:t>入</w:t>
      </w:r>
      <w:r>
        <w:rPr>
          <w:rFonts w:hint="eastAsia" w:ascii="仿宋_GB2312" w:hAnsi="仿宋_GB2312" w:eastAsia="仿宋_GB2312" w:cs="仿宋_GB2312"/>
          <w:sz w:val="32"/>
          <w:szCs w:val="32"/>
        </w:rPr>
        <w:t>2021年度重大行政决策事项。</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8" w:firstLineChars="200"/>
        <w:jc w:val="both"/>
        <w:textAlignment w:val="auto"/>
        <w:outlineLvl w:val="9"/>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因此，本规划纲要的制定和实施是合法的。</w:t>
      </w:r>
      <w:bookmarkStart w:id="17" w:name="_bookmark15"/>
      <w:bookmarkEnd w:id="17"/>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2.3.2</w:t>
      </w:r>
      <w:r>
        <w:rPr>
          <w:rFonts w:hint="eastAsia" w:ascii="仿宋_GB2312" w:hAnsi="仿宋_GB2312" w:eastAsia="仿宋_GB2312" w:cs="仿宋_GB2312"/>
          <w:spacing w:val="-3"/>
          <w:sz w:val="32"/>
          <w:szCs w:val="32"/>
        </w:rPr>
        <w:t>本规划纲要的合理性评估</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（一）</w:t>
      </w:r>
      <w:r>
        <w:rPr>
          <w:rFonts w:hint="eastAsia" w:ascii="仿宋_GB2312" w:hAnsi="仿宋_GB2312" w:eastAsia="仿宋_GB2312" w:cs="仿宋_GB2312"/>
          <w:spacing w:val="-3"/>
          <w:sz w:val="32"/>
          <w:szCs w:val="32"/>
        </w:rPr>
        <w:t>抓住国家乡村振兴战略机遇期</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1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党的十九大报告</w:t>
      </w:r>
      <w:r>
        <w:rPr>
          <w:rFonts w:hint="eastAsia" w:ascii="仿宋_GB2312" w:hAnsi="仿宋_GB2312" w:eastAsia="仿宋_GB2312" w:cs="仿宋_GB2312"/>
          <w:spacing w:val="-7"/>
          <w:sz w:val="32"/>
          <w:szCs w:val="32"/>
          <w:lang w:eastAsia="zh-CN"/>
        </w:rPr>
        <w:t>作出</w:t>
      </w:r>
      <w:r>
        <w:rPr>
          <w:rFonts w:hint="eastAsia" w:ascii="仿宋_GB2312" w:hAnsi="仿宋_GB2312" w:eastAsia="仿宋_GB2312" w:cs="仿宋_GB2312"/>
          <w:spacing w:val="-7"/>
          <w:sz w:val="32"/>
          <w:szCs w:val="32"/>
        </w:rPr>
        <w:t>了实施乡村振兴战略的重大部署，并印发了</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《乡村振兴战略规划（2018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十四五时期是县级加快追赶超越步伐、推动农业农村高质量发展、促进乡村振兴战略加快实施的重要阶段。立足商河县农业农村发展实际，研究提出“十四五”时期农业农村发展重大项目、重大工程以及重点任务、发展目标等，尤其是县域优势特色产业的发展上。</w:t>
      </w:r>
      <w:r>
        <w:rPr>
          <w:rFonts w:hint="eastAsia" w:ascii="仿宋_GB2312" w:hAnsi="仿宋_GB2312" w:eastAsia="仿宋_GB2312" w:cs="仿宋_GB2312"/>
          <w:color w:val="000007"/>
          <w:sz w:val="32"/>
          <w:szCs w:val="32"/>
        </w:rPr>
        <w:t>花卉产业是商河县助推乡村振兴的十大支柱产业之一，十四五期间，乡村振兴进入全面推进、高效发展的新阶段，新形式新趋势为商河花卉产业高速发展提供了良好机遇</w:t>
      </w:r>
      <w:r>
        <w:rPr>
          <w:rFonts w:hint="eastAsia" w:ascii="仿宋_GB2312" w:hAnsi="仿宋_GB2312" w:eastAsia="仿宋_GB2312" w:cs="仿宋_GB2312"/>
          <w:color w:val="000007"/>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（二）</w:t>
      </w:r>
      <w:r>
        <w:rPr>
          <w:rFonts w:hint="eastAsia" w:ascii="仿宋_GB2312" w:hAnsi="仿宋_GB2312" w:eastAsia="仿宋_GB2312" w:cs="仿宋_GB2312"/>
          <w:spacing w:val="-3"/>
          <w:sz w:val="32"/>
          <w:szCs w:val="32"/>
        </w:rPr>
        <w:t>抓住国家实施</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黄河战略</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机遇期</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1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黄河流域生态保护和高质量发展上升为重大国家战略，明确了济</w:t>
      </w:r>
      <w:r>
        <w:rPr>
          <w:rFonts w:hint="eastAsia" w:ascii="仿宋_GB2312" w:hAnsi="仿宋_GB2312" w:eastAsia="仿宋_GB2312" w:cs="仿宋_GB2312"/>
          <w:spacing w:val="-8"/>
          <w:sz w:val="32"/>
          <w:szCs w:val="32"/>
        </w:rPr>
        <w:t>南作为黄河流域中心城市的全新定位，赋予了重大时代责任和历史使</w:t>
      </w:r>
      <w:r>
        <w:rPr>
          <w:rFonts w:hint="eastAsia" w:ascii="仿宋_GB2312" w:hAnsi="仿宋_GB2312" w:eastAsia="仿宋_GB2312" w:cs="仿宋_GB2312"/>
          <w:spacing w:val="-4"/>
          <w:sz w:val="32"/>
          <w:szCs w:val="32"/>
        </w:rPr>
        <w:t>命，为省会带来了千载难逢的发展机遇。济南市委市政府抓住实施黄河国家战略重大契机，提出了</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东强、西兴、南美、北起、中优</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的城市发展新格局。强力推动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携河北起</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和起步区（新区）建设，标志着济南阔步迈入</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黄河时代</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和融入京津冀一体化发展的</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关键时期</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。新区的建设缩短了与商河的空间距离，黄河流域生态保护和高质量发展和</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携河北起</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战略对商河县现代高效农业发展提出了新机遇，注入新动能。</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携河北起</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是商河面临的历史性发展机遇，整个北部区域交通格局、产业布局、城市功能等发生深刻变化，为农业高</w:t>
      </w:r>
      <w:r>
        <w:rPr>
          <w:rFonts w:hint="eastAsia" w:ascii="仿宋_GB2312" w:hAnsi="仿宋_GB2312" w:eastAsia="仿宋_GB2312" w:cs="仿宋_GB2312"/>
          <w:spacing w:val="-2"/>
          <w:sz w:val="32"/>
          <w:szCs w:val="32"/>
        </w:rPr>
        <w:t>质量一体化发展创造了重要契机。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（三）</w:t>
      </w:r>
      <w:r>
        <w:rPr>
          <w:rFonts w:hint="eastAsia" w:ascii="仿宋_GB2312" w:hAnsi="仿宋_GB2312" w:eastAsia="仿宋_GB2312" w:cs="仿宋_GB2312"/>
          <w:spacing w:val="-3"/>
          <w:sz w:val="32"/>
          <w:szCs w:val="32"/>
        </w:rPr>
        <w:t>抓住山东农业</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新六产</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发展机遇期</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大力发展农业</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新六产</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，是省委、省政府深入贯彻落实习近平</w:t>
      </w:r>
      <w:r>
        <w:rPr>
          <w:rFonts w:hint="eastAsia" w:ascii="仿宋_GB2312" w:hAnsi="仿宋_GB2312" w:eastAsia="仿宋_GB2312" w:cs="仿宋_GB2312"/>
          <w:spacing w:val="-6"/>
          <w:sz w:val="32"/>
          <w:szCs w:val="32"/>
        </w:rPr>
        <w:t>总书记关于打造乡村振兴齐鲁样板重要指示精神的创新举措，是加快</w:t>
      </w:r>
      <w:r>
        <w:rPr>
          <w:rFonts w:hint="eastAsia" w:ascii="仿宋_GB2312" w:hAnsi="仿宋_GB2312" w:eastAsia="仿宋_GB2312" w:cs="仿宋_GB2312"/>
          <w:spacing w:val="-2"/>
          <w:sz w:val="32"/>
          <w:szCs w:val="32"/>
        </w:rPr>
        <w:t>农业新旧动能转换、推动农业高质量发展的现实路径，对推动乡村产业振兴、加快农业农村现代化步伐具有重要意义。当前和今后一个时期，商河县农业已进入走在前列、由大到强、全面求强的重要发展阶</w:t>
      </w:r>
      <w:r>
        <w:rPr>
          <w:rFonts w:hint="eastAsia" w:ascii="仿宋_GB2312" w:hAnsi="仿宋_GB2312" w:eastAsia="仿宋_GB2312" w:cs="仿宋_GB2312"/>
          <w:spacing w:val="-19"/>
          <w:sz w:val="32"/>
          <w:szCs w:val="32"/>
        </w:rPr>
        <w:t>段，农业</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新六产</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发展面临重大历史机遇。一是政策环境十分有利。</w:t>
      </w:r>
      <w:r>
        <w:rPr>
          <w:rFonts w:hint="eastAsia" w:ascii="仿宋_GB2312" w:hAnsi="仿宋_GB2312" w:eastAsia="仿宋_GB2312" w:cs="仿宋_GB2312"/>
          <w:spacing w:val="-2"/>
          <w:sz w:val="32"/>
          <w:szCs w:val="32"/>
        </w:rPr>
        <w:t>省委、省政府把农业</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新六产</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作为推进农村一二三产业融合发展的创新举措，为农业</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新六产</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营造了良好发展环境。二是新旧动能加速转换。当前，省委、省政府将加快新旧动能转换作为统领全省经济发展的重大工程，必将加快</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新六产</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发展步伐，开辟农村经济新动能的快速通道。三是路径模式日趋成熟。近年来，各地结合发展现代农业，积极探索农业</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新六产</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，取得了成功经验，闯出了特色鲜明</w:t>
      </w:r>
      <w:r>
        <w:rPr>
          <w:rFonts w:hint="eastAsia" w:ascii="仿宋_GB2312" w:hAnsi="仿宋_GB2312" w:eastAsia="仿宋_GB2312" w:cs="仿宋_GB2312"/>
          <w:spacing w:val="-8"/>
          <w:sz w:val="32"/>
          <w:szCs w:val="32"/>
        </w:rPr>
        <w:t>发展路子，农业</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新六产</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正在由</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星星之火</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转变为</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燎原之势</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（四）</w:t>
      </w:r>
      <w:r>
        <w:rPr>
          <w:rFonts w:hint="eastAsia" w:ascii="仿宋_GB2312" w:hAnsi="仿宋_GB2312" w:eastAsia="仿宋_GB2312" w:cs="仿宋_GB2312"/>
          <w:spacing w:val="-3"/>
          <w:sz w:val="32"/>
          <w:szCs w:val="32"/>
        </w:rPr>
        <w:t>抓住商河交通枢纽发展机遇期</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围绕省会济南建设</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大强美富通</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现代化国际大都市的目标，强力推动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携河北跨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和起步区建设，在乡村振兴战略、消费三元结构构建、山东新旧动能转换、济南</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携河北跨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空间布局、商河农业区位优势、商河交通改善等机遇期下，商河县</w:t>
      </w:r>
      <w:r>
        <w:rPr>
          <w:rFonts w:hint="eastAsia" w:ascii="仿宋_GB2312" w:hAnsi="仿宋_GB2312" w:eastAsia="仿宋_GB2312" w:cs="仿宋_GB2312"/>
          <w:spacing w:val="-4"/>
          <w:sz w:val="32"/>
          <w:szCs w:val="32"/>
          <w:lang w:eastAsia="zh-CN"/>
        </w:rPr>
        <w:t>花卉产业“</w:t>
      </w:r>
      <w:r>
        <w:rPr>
          <w:rFonts w:hint="eastAsia" w:ascii="仿宋_GB2312" w:hAnsi="仿宋_GB2312" w:eastAsia="仿宋_GB2312" w:cs="仿宋_GB2312"/>
          <w:spacing w:val="-4"/>
          <w:sz w:val="32"/>
          <w:szCs w:val="32"/>
        </w:rPr>
        <w:t>十四五</w:t>
      </w:r>
      <w:r>
        <w:rPr>
          <w:rFonts w:hint="eastAsia" w:ascii="仿宋_GB2312" w:hAnsi="仿宋_GB2312" w:eastAsia="仿宋_GB2312" w:cs="仿宋_GB2312"/>
          <w:spacing w:val="-4"/>
          <w:sz w:val="32"/>
          <w:szCs w:val="32"/>
          <w:lang w:eastAsia="zh-CN"/>
        </w:rPr>
        <w:t>”发展</w:t>
      </w:r>
      <w:r>
        <w:rPr>
          <w:rFonts w:hint="eastAsia" w:ascii="仿宋_GB2312" w:hAnsi="仿宋_GB2312" w:eastAsia="仿宋_GB2312" w:cs="仿宋_GB2312"/>
          <w:spacing w:val="-4"/>
          <w:sz w:val="32"/>
          <w:szCs w:val="32"/>
        </w:rPr>
        <w:t>的新机遇不断积蓄。商河交通环境将发生历史性变化。商河将迎来</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三横两纵</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的高速和高铁、陆空并存的</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速度</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时代，将成为连接省会城市群都市圈与京津冀、雄安新区空中通道的重要节点，即高</w:t>
      </w:r>
      <w:r>
        <w:rPr>
          <w:rFonts w:hint="eastAsia" w:ascii="仿宋_GB2312" w:hAnsi="仿宋_GB2312" w:eastAsia="仿宋_GB2312" w:cs="仿宋_GB2312"/>
          <w:spacing w:val="-18"/>
          <w:sz w:val="32"/>
          <w:szCs w:val="32"/>
        </w:rPr>
        <w:t>铁</w:t>
      </w:r>
      <w:r>
        <w:rPr>
          <w:rFonts w:hint="eastAsia" w:ascii="仿宋_GB2312" w:hAnsi="仿宋_GB2312" w:eastAsia="仿宋_GB2312" w:cs="仿宋_GB2312"/>
          <w:sz w:val="32"/>
          <w:szCs w:val="32"/>
        </w:rPr>
        <w:t>15分钟直达济南国际机场、20分钟直达济南东站，1.5小时到达</w:t>
      </w:r>
      <w:r>
        <w:rPr>
          <w:rFonts w:hint="eastAsia" w:ascii="仿宋_GB2312" w:hAnsi="仿宋_GB2312" w:eastAsia="仿宋_GB2312" w:cs="仿宋_GB2312"/>
          <w:spacing w:val="-2"/>
          <w:sz w:val="32"/>
          <w:szCs w:val="32"/>
        </w:rPr>
        <w:t>北京、4小时到达上海。商河对接起步区、融入中心城、更好承接京</w:t>
      </w:r>
      <w:r>
        <w:rPr>
          <w:rFonts w:hint="eastAsia" w:ascii="仿宋_GB2312" w:hAnsi="仿宋_GB2312" w:eastAsia="仿宋_GB2312" w:cs="仿宋_GB2312"/>
          <w:spacing w:val="-4"/>
          <w:sz w:val="32"/>
          <w:szCs w:val="32"/>
        </w:rPr>
        <w:t>津冀产业转移</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换挡提速</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，为</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十四五</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期间商河</w:t>
      </w:r>
      <w:r>
        <w:rPr>
          <w:rFonts w:hint="eastAsia" w:ascii="仿宋_GB2312" w:hAnsi="仿宋_GB2312" w:eastAsia="仿宋_GB2312" w:cs="仿宋_GB2312"/>
          <w:spacing w:val="-4"/>
          <w:sz w:val="32"/>
          <w:szCs w:val="32"/>
          <w:lang w:eastAsia="zh-CN"/>
        </w:rPr>
        <w:t>花卉产业</w:t>
      </w:r>
      <w:r>
        <w:rPr>
          <w:rFonts w:hint="eastAsia" w:ascii="仿宋_GB2312" w:hAnsi="仿宋_GB2312" w:eastAsia="仿宋_GB2312" w:cs="仿宋_GB2312"/>
          <w:spacing w:val="-4"/>
          <w:sz w:val="32"/>
          <w:szCs w:val="32"/>
        </w:rPr>
        <w:t>的</w:t>
      </w:r>
      <w:r>
        <w:rPr>
          <w:rFonts w:hint="eastAsia" w:ascii="仿宋_GB2312" w:hAnsi="仿宋_GB2312" w:eastAsia="仿宋_GB2312" w:cs="仿宋_GB2312"/>
          <w:spacing w:val="-8"/>
          <w:sz w:val="32"/>
          <w:szCs w:val="32"/>
        </w:rPr>
        <w:t>加工流通等方面进一步发展创造支撑条件，尤其为商河农产品加工业</w:t>
      </w:r>
      <w:r>
        <w:rPr>
          <w:rFonts w:hint="eastAsia" w:ascii="仿宋_GB2312" w:hAnsi="仿宋_GB2312" w:eastAsia="仿宋_GB2312" w:cs="仿宋_GB2312"/>
          <w:spacing w:val="-3"/>
          <w:sz w:val="32"/>
          <w:szCs w:val="32"/>
        </w:rPr>
        <w:t>发展、休闲农业和乡村旅游发展提供重要交通便利。</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（五）</w:t>
      </w:r>
      <w:r>
        <w:rPr>
          <w:rFonts w:hint="eastAsia" w:ascii="仿宋_GB2312" w:hAnsi="仿宋_GB2312" w:eastAsia="仿宋_GB2312" w:cs="仿宋_GB2312"/>
          <w:spacing w:val="-3"/>
          <w:sz w:val="32"/>
          <w:szCs w:val="32"/>
        </w:rPr>
        <w:t>抓住商河农业区位优势转化期</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0"/>
          <w:w w:val="100"/>
          <w:sz w:val="32"/>
          <w:szCs w:val="32"/>
        </w:rPr>
        <w:t>商河属于典型的农业大县，北临京津冀、南靠济南新旧动能转换</w:t>
      </w:r>
      <w:r>
        <w:rPr>
          <w:rFonts w:hint="eastAsia" w:ascii="仿宋_GB2312" w:hAnsi="仿宋_GB2312" w:eastAsia="仿宋_GB2312" w:cs="仿宋_GB2312"/>
          <w:spacing w:val="-7"/>
          <w:w w:val="100"/>
          <w:sz w:val="32"/>
          <w:szCs w:val="32"/>
        </w:rPr>
        <w:t>起步区，地处三市六县交汇处，是省会经济圈一体化的北部隆起带、</w:t>
      </w:r>
      <w:r>
        <w:rPr>
          <w:rFonts w:hint="eastAsia" w:ascii="仿宋_GB2312" w:hAnsi="仿宋_GB2312" w:eastAsia="仿宋_GB2312" w:cs="仿宋_GB2312"/>
          <w:spacing w:val="-18"/>
          <w:w w:val="100"/>
          <w:sz w:val="32"/>
          <w:szCs w:val="32"/>
        </w:rPr>
        <w:t>济南</w:t>
      </w:r>
      <w:r>
        <w:rPr>
          <w:rFonts w:hint="eastAsia" w:ascii="仿宋_GB2312" w:hAnsi="仿宋_GB2312" w:eastAsia="仿宋_GB2312" w:cs="仿宋_GB2312"/>
          <w:spacing w:val="-18"/>
          <w:w w:val="100"/>
          <w:sz w:val="32"/>
          <w:szCs w:val="32"/>
          <w:lang w:eastAsia="zh-CN"/>
        </w:rPr>
        <w:t>“</w:t>
      </w:r>
      <w:r>
        <w:rPr>
          <w:rFonts w:hint="eastAsia" w:ascii="仿宋_GB2312" w:hAnsi="仿宋_GB2312" w:eastAsia="仿宋_GB2312" w:cs="仿宋_GB2312"/>
          <w:spacing w:val="-18"/>
          <w:w w:val="100"/>
          <w:sz w:val="32"/>
          <w:szCs w:val="32"/>
        </w:rPr>
        <w:t>携河北起</w:t>
      </w:r>
      <w:r>
        <w:rPr>
          <w:rFonts w:hint="eastAsia" w:ascii="仿宋_GB2312" w:hAnsi="仿宋_GB2312" w:eastAsia="仿宋_GB2312" w:cs="仿宋_GB2312"/>
          <w:spacing w:val="-18"/>
          <w:w w:val="100"/>
          <w:sz w:val="32"/>
          <w:szCs w:val="32"/>
          <w:lang w:eastAsia="zh-CN"/>
        </w:rPr>
        <w:t>”</w:t>
      </w:r>
      <w:r>
        <w:rPr>
          <w:rFonts w:hint="eastAsia" w:ascii="仿宋_GB2312" w:hAnsi="仿宋_GB2312" w:eastAsia="仿宋_GB2312" w:cs="仿宋_GB2312"/>
          <w:spacing w:val="-18"/>
          <w:w w:val="100"/>
          <w:sz w:val="32"/>
          <w:szCs w:val="32"/>
        </w:rPr>
        <w:t>战略、建设</w:t>
      </w:r>
      <w:r>
        <w:rPr>
          <w:rFonts w:hint="eastAsia" w:ascii="仿宋_GB2312" w:hAnsi="仿宋_GB2312" w:eastAsia="仿宋_GB2312" w:cs="仿宋_GB2312"/>
          <w:spacing w:val="-18"/>
          <w:w w:val="100"/>
          <w:sz w:val="32"/>
          <w:szCs w:val="32"/>
          <w:lang w:eastAsia="zh-CN"/>
        </w:rPr>
        <w:t>“</w:t>
      </w:r>
      <w:r>
        <w:rPr>
          <w:rFonts w:hint="eastAsia" w:ascii="仿宋_GB2312" w:hAnsi="仿宋_GB2312" w:eastAsia="仿宋_GB2312" w:cs="仿宋_GB2312"/>
          <w:spacing w:val="-18"/>
          <w:w w:val="100"/>
          <w:sz w:val="32"/>
          <w:szCs w:val="32"/>
        </w:rPr>
        <w:t>花城</w:t>
      </w:r>
      <w:r>
        <w:rPr>
          <w:rFonts w:hint="eastAsia" w:ascii="仿宋_GB2312" w:hAnsi="仿宋_GB2312" w:eastAsia="仿宋_GB2312" w:cs="仿宋_GB2312"/>
          <w:spacing w:val="-18"/>
          <w:w w:val="100"/>
          <w:sz w:val="32"/>
          <w:szCs w:val="32"/>
          <w:lang w:eastAsia="zh-CN"/>
        </w:rPr>
        <w:t>”</w:t>
      </w:r>
      <w:r>
        <w:rPr>
          <w:rFonts w:hint="eastAsia" w:ascii="仿宋_GB2312" w:hAnsi="仿宋_GB2312" w:eastAsia="仿宋_GB2312" w:cs="仿宋_GB2312"/>
          <w:spacing w:val="-18"/>
          <w:w w:val="100"/>
          <w:sz w:val="32"/>
          <w:szCs w:val="32"/>
        </w:rPr>
        <w:t>、打造</w:t>
      </w:r>
      <w:r>
        <w:rPr>
          <w:rFonts w:hint="eastAsia" w:ascii="仿宋_GB2312" w:hAnsi="仿宋_GB2312" w:eastAsia="仿宋_GB2312" w:cs="仿宋_GB2312"/>
          <w:spacing w:val="-18"/>
          <w:w w:val="100"/>
          <w:sz w:val="32"/>
          <w:szCs w:val="32"/>
          <w:lang w:eastAsia="zh-CN"/>
        </w:rPr>
        <w:t>“</w:t>
      </w:r>
      <w:r>
        <w:rPr>
          <w:rFonts w:hint="eastAsia" w:ascii="仿宋_GB2312" w:hAnsi="仿宋_GB2312" w:eastAsia="仿宋_GB2312" w:cs="仿宋_GB2312"/>
          <w:spacing w:val="-18"/>
          <w:w w:val="100"/>
          <w:sz w:val="32"/>
          <w:szCs w:val="32"/>
        </w:rPr>
        <w:t>绿城</w:t>
      </w:r>
      <w:r>
        <w:rPr>
          <w:rFonts w:hint="eastAsia" w:ascii="仿宋_GB2312" w:hAnsi="仿宋_GB2312" w:eastAsia="仿宋_GB2312" w:cs="仿宋_GB2312"/>
          <w:spacing w:val="-18"/>
          <w:w w:val="100"/>
          <w:sz w:val="32"/>
          <w:szCs w:val="32"/>
          <w:lang w:eastAsia="zh-CN"/>
        </w:rPr>
        <w:t>”</w:t>
      </w:r>
      <w:r>
        <w:rPr>
          <w:rFonts w:hint="eastAsia" w:ascii="仿宋_GB2312" w:hAnsi="仿宋_GB2312" w:eastAsia="仿宋_GB2312" w:cs="仿宋_GB2312"/>
          <w:spacing w:val="-18"/>
          <w:w w:val="100"/>
          <w:sz w:val="32"/>
          <w:szCs w:val="32"/>
        </w:rPr>
        <w:t>的主要承载地，</w:t>
      </w:r>
      <w:r>
        <w:rPr>
          <w:rFonts w:hint="eastAsia" w:ascii="仿宋_GB2312" w:hAnsi="仿宋_GB2312" w:eastAsia="仿宋_GB2312" w:cs="仿宋_GB2312"/>
          <w:spacing w:val="3"/>
          <w:w w:val="100"/>
          <w:sz w:val="32"/>
          <w:szCs w:val="32"/>
        </w:rPr>
        <w:t>是对接和融入京津冀一体化发展的桥头堡和关键要塞，区位优势明</w:t>
      </w:r>
      <w:r>
        <w:rPr>
          <w:rFonts w:hint="eastAsia" w:ascii="仿宋_GB2312" w:hAnsi="仿宋_GB2312" w:eastAsia="仿宋_GB2312" w:cs="仿宋_GB2312"/>
          <w:spacing w:val="-10"/>
          <w:w w:val="100"/>
          <w:sz w:val="32"/>
          <w:szCs w:val="32"/>
        </w:rPr>
        <w:t>显。</w:t>
      </w:r>
      <w:r>
        <w:rPr>
          <w:rFonts w:hint="eastAsia" w:ascii="仿宋_GB2312" w:hAnsi="仿宋_GB2312" w:eastAsia="仿宋_GB2312" w:cs="仿宋_GB2312"/>
          <w:spacing w:val="-10"/>
          <w:w w:val="100"/>
          <w:sz w:val="32"/>
          <w:szCs w:val="32"/>
          <w:lang w:eastAsia="zh-CN"/>
        </w:rPr>
        <w:t>商河县连年举办济南市花博会，</w:t>
      </w:r>
      <w:r>
        <w:rPr>
          <w:rFonts w:hint="eastAsia" w:ascii="仿宋_GB2312" w:hAnsi="仿宋_GB2312" w:eastAsia="仿宋_GB2312" w:cs="仿宋_GB2312"/>
          <w:color w:val="000007"/>
          <w:sz w:val="32"/>
          <w:szCs w:val="32"/>
        </w:rPr>
        <w:t>大力宣传了商河花卉、</w:t>
      </w:r>
      <w:r>
        <w:rPr>
          <w:rFonts w:hint="eastAsia" w:ascii="仿宋_GB2312" w:hAnsi="仿宋_GB2312" w:eastAsia="仿宋_GB2312" w:cs="仿宋_GB2312"/>
          <w:color w:val="000007"/>
          <w:spacing w:val="-4"/>
          <w:sz w:val="32"/>
          <w:szCs w:val="32"/>
        </w:rPr>
        <w:t>温泉产业经济</w:t>
      </w:r>
      <w:r>
        <w:rPr>
          <w:rFonts w:hint="eastAsia" w:ascii="仿宋_GB2312" w:hAnsi="仿宋_GB2312" w:eastAsia="仿宋_GB2312" w:cs="仿宋_GB2312"/>
          <w:spacing w:val="-12"/>
          <w:w w:val="100"/>
          <w:sz w:val="32"/>
          <w:szCs w:val="32"/>
          <w:lang w:eastAsia="zh-CN"/>
        </w:rPr>
        <w:t>；</w:t>
      </w:r>
      <w:r>
        <w:rPr>
          <w:rFonts w:hint="eastAsia" w:ascii="仿宋_GB2312" w:hAnsi="仿宋_GB2312" w:eastAsia="仿宋_GB2312" w:cs="仿宋_GB2312"/>
          <w:color w:val="000007"/>
          <w:spacing w:val="-4"/>
          <w:sz w:val="32"/>
          <w:szCs w:val="32"/>
        </w:rPr>
        <w:t>展会经济助推了产业、文化、市场、科技等</w:t>
      </w:r>
      <w:r>
        <w:rPr>
          <w:rFonts w:hint="eastAsia" w:ascii="仿宋_GB2312" w:hAnsi="仿宋_GB2312" w:eastAsia="仿宋_GB2312" w:cs="仿宋_GB2312"/>
          <w:color w:val="000007"/>
          <w:spacing w:val="-16"/>
          <w:w w:val="95"/>
          <w:sz w:val="32"/>
          <w:szCs w:val="32"/>
        </w:rPr>
        <w:t>多要素的整合提升</w:t>
      </w:r>
      <w:r>
        <w:rPr>
          <w:rFonts w:hint="eastAsia" w:ascii="仿宋_GB2312" w:hAnsi="仿宋_GB2312" w:eastAsia="仿宋_GB2312" w:cs="仿宋_GB2312"/>
          <w:color w:val="000007"/>
          <w:spacing w:val="-16"/>
          <w:w w:val="95"/>
          <w:sz w:val="32"/>
          <w:szCs w:val="32"/>
          <w:lang w:eastAsia="zh-CN"/>
        </w:rPr>
        <w:t>，</w:t>
      </w:r>
      <w:r>
        <w:rPr>
          <w:rFonts w:hint="eastAsia" w:ascii="仿宋_GB2312" w:hAnsi="仿宋_GB2312" w:eastAsia="仿宋_GB2312" w:cs="仿宋_GB2312"/>
          <w:color w:val="000007"/>
          <w:spacing w:val="-16"/>
          <w:sz w:val="32"/>
          <w:szCs w:val="32"/>
        </w:rPr>
        <w:t>对促进商河花卉产业发展具有重要意义</w:t>
      </w:r>
      <w:r>
        <w:rPr>
          <w:rFonts w:hint="eastAsia" w:ascii="仿宋_GB2312" w:hAnsi="仿宋_GB2312" w:eastAsia="仿宋_GB2312" w:cs="仿宋_GB2312"/>
          <w:color w:val="000007"/>
          <w:spacing w:val="-16"/>
          <w:sz w:val="32"/>
          <w:szCs w:val="32"/>
          <w:lang w:eastAsia="zh-CN"/>
        </w:rPr>
        <w:t>。</w:t>
      </w:r>
      <w:r>
        <w:rPr>
          <w:rFonts w:hint="eastAsia" w:ascii="仿宋_GB2312" w:hAnsi="仿宋_GB2312" w:eastAsia="仿宋_GB2312" w:cs="仿宋_GB2312"/>
          <w:spacing w:val="-12"/>
          <w:w w:val="100"/>
          <w:sz w:val="32"/>
          <w:szCs w:val="32"/>
        </w:rPr>
        <w:t>尤其商河拥有温泉、生态、农业三张靓丽名片，拥有</w:t>
      </w:r>
      <w:r>
        <w:rPr>
          <w:rFonts w:hint="eastAsia" w:ascii="仿宋_GB2312" w:hAnsi="仿宋_GB2312" w:eastAsia="仿宋_GB2312" w:cs="仿宋_GB2312"/>
          <w:spacing w:val="-12"/>
          <w:w w:val="100"/>
          <w:sz w:val="32"/>
          <w:szCs w:val="32"/>
          <w:lang w:eastAsia="zh-CN"/>
        </w:rPr>
        <w:t>“温泉花卉”“点赞商河”区域公用品牌</w:t>
      </w:r>
      <w:r>
        <w:rPr>
          <w:rFonts w:hint="eastAsia" w:ascii="仿宋_GB2312" w:hAnsi="仿宋_GB2312" w:eastAsia="仿宋_GB2312" w:cs="仿宋_GB2312"/>
          <w:spacing w:val="-11"/>
          <w:w w:val="100"/>
          <w:sz w:val="32"/>
          <w:szCs w:val="32"/>
        </w:rPr>
        <w:t>，这对</w:t>
      </w:r>
      <w:r>
        <w:rPr>
          <w:rFonts w:hint="eastAsia" w:ascii="仿宋_GB2312" w:hAnsi="仿宋_GB2312" w:eastAsia="仿宋_GB2312" w:cs="仿宋_GB2312"/>
          <w:spacing w:val="-12"/>
          <w:w w:val="100"/>
          <w:sz w:val="32"/>
          <w:szCs w:val="32"/>
        </w:rPr>
        <w:t>振兴花卉、重塑</w:t>
      </w:r>
      <w:r>
        <w:rPr>
          <w:rFonts w:hint="eastAsia" w:ascii="仿宋_GB2312" w:hAnsi="仿宋_GB2312" w:eastAsia="仿宋_GB2312" w:cs="仿宋_GB2312"/>
          <w:spacing w:val="-12"/>
          <w:w w:val="100"/>
          <w:sz w:val="32"/>
          <w:szCs w:val="32"/>
          <w:lang w:eastAsia="zh-CN"/>
        </w:rPr>
        <w:t>“</w:t>
      </w:r>
      <w:r>
        <w:rPr>
          <w:rFonts w:hint="eastAsia" w:ascii="仿宋_GB2312" w:hAnsi="仿宋_GB2312" w:eastAsia="仿宋_GB2312" w:cs="仿宋_GB2312"/>
          <w:spacing w:val="-12"/>
          <w:w w:val="100"/>
          <w:sz w:val="32"/>
          <w:szCs w:val="32"/>
        </w:rPr>
        <w:t>点赞商河</w:t>
      </w:r>
      <w:r>
        <w:rPr>
          <w:rFonts w:hint="eastAsia" w:ascii="仿宋_GB2312" w:hAnsi="仿宋_GB2312" w:eastAsia="仿宋_GB2312" w:cs="仿宋_GB2312"/>
          <w:spacing w:val="-12"/>
          <w:w w:val="100"/>
          <w:sz w:val="32"/>
          <w:szCs w:val="32"/>
          <w:lang w:eastAsia="zh-CN"/>
        </w:rPr>
        <w:t>”</w:t>
      </w:r>
      <w:r>
        <w:rPr>
          <w:rFonts w:hint="eastAsia" w:ascii="仿宋_GB2312" w:hAnsi="仿宋_GB2312" w:eastAsia="仿宋_GB2312" w:cs="仿宋_GB2312"/>
          <w:spacing w:val="-12"/>
          <w:w w:val="100"/>
          <w:sz w:val="32"/>
          <w:szCs w:val="32"/>
        </w:rPr>
        <w:t>品牌形象具有重要意义。伴随新冠疫情引起的消费者需求结构的变化，生态旅游体验型农业成为未来的发展趋势，为商河大力发展温泉旅游业、乡村旅游业带来了广阔</w:t>
      </w:r>
      <w:r>
        <w:rPr>
          <w:rFonts w:hint="eastAsia" w:ascii="仿宋_GB2312" w:hAnsi="仿宋_GB2312" w:eastAsia="仿宋_GB2312" w:cs="仿宋_GB2312"/>
          <w:spacing w:val="-7"/>
          <w:w w:val="100"/>
          <w:sz w:val="32"/>
          <w:szCs w:val="32"/>
        </w:rPr>
        <w:t>的市场空间，为</w:t>
      </w:r>
      <w:r>
        <w:rPr>
          <w:rFonts w:hint="eastAsia" w:ascii="仿宋_GB2312" w:hAnsi="仿宋_GB2312" w:eastAsia="仿宋_GB2312" w:cs="仿宋_GB2312"/>
          <w:spacing w:val="-7"/>
          <w:w w:val="100"/>
          <w:sz w:val="32"/>
          <w:szCs w:val="32"/>
          <w:lang w:eastAsia="zh-CN"/>
        </w:rPr>
        <w:t>花卉</w:t>
      </w:r>
      <w:r>
        <w:rPr>
          <w:rFonts w:hint="eastAsia" w:ascii="仿宋_GB2312" w:hAnsi="仿宋_GB2312" w:eastAsia="仿宋_GB2312" w:cs="仿宋_GB2312"/>
          <w:spacing w:val="-7"/>
          <w:w w:val="100"/>
          <w:sz w:val="32"/>
          <w:szCs w:val="32"/>
        </w:rPr>
        <w:t>发展释放新活力。</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综合分析，本规划纲要的制定是合理的。</w:t>
      </w:r>
    </w:p>
    <w:p>
      <w:pPr>
        <w:pStyle w:val="13"/>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60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bookmarkStart w:id="18" w:name="_bookmark16"/>
      <w:bookmarkEnd w:id="18"/>
      <w:r>
        <w:rPr>
          <w:rFonts w:hint="eastAsia" w:ascii="仿宋_GB2312" w:hAnsi="仿宋_GB2312" w:eastAsia="仿宋_GB2312" w:cs="仿宋_GB2312"/>
          <w:spacing w:val="-3"/>
          <w:sz w:val="32"/>
          <w:szCs w:val="32"/>
          <w:lang w:val="en-US" w:eastAsia="zh-CN"/>
        </w:rPr>
        <w:t>2.3.3</w:t>
      </w:r>
      <w:r>
        <w:rPr>
          <w:rFonts w:hint="eastAsia" w:ascii="仿宋_GB2312" w:hAnsi="仿宋_GB2312" w:eastAsia="仿宋_GB2312" w:cs="仿宋_GB2312"/>
          <w:spacing w:val="-3"/>
          <w:sz w:val="32"/>
          <w:szCs w:val="32"/>
        </w:rPr>
        <w:t>本规划纲要的可行性评估</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59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2"/>
          <w:w w:val="100"/>
          <w:sz w:val="32"/>
          <w:szCs w:val="32"/>
          <w:lang w:eastAsia="zh-CN"/>
        </w:rPr>
        <w:t>“</w:t>
      </w:r>
      <w:r>
        <w:rPr>
          <w:rFonts w:hint="eastAsia" w:ascii="仿宋_GB2312" w:hAnsi="仿宋_GB2312" w:eastAsia="仿宋_GB2312" w:cs="仿宋_GB2312"/>
          <w:spacing w:val="-12"/>
          <w:w w:val="100"/>
          <w:sz w:val="32"/>
          <w:szCs w:val="32"/>
        </w:rPr>
        <w:t>十四五</w:t>
      </w:r>
      <w:r>
        <w:rPr>
          <w:rFonts w:hint="eastAsia" w:ascii="仿宋_GB2312" w:hAnsi="仿宋_GB2312" w:eastAsia="仿宋_GB2312" w:cs="仿宋_GB2312"/>
          <w:spacing w:val="-12"/>
          <w:w w:val="100"/>
          <w:sz w:val="32"/>
          <w:szCs w:val="32"/>
          <w:lang w:eastAsia="zh-CN"/>
        </w:rPr>
        <w:t>”</w:t>
      </w:r>
      <w:r>
        <w:rPr>
          <w:rFonts w:hint="eastAsia" w:ascii="仿宋_GB2312" w:hAnsi="仿宋_GB2312" w:eastAsia="仿宋_GB2312" w:cs="仿宋_GB2312"/>
          <w:spacing w:val="-12"/>
          <w:w w:val="100"/>
          <w:sz w:val="32"/>
          <w:szCs w:val="32"/>
        </w:rPr>
        <w:t>时期，商河县</w:t>
      </w:r>
      <w:r>
        <w:rPr>
          <w:rFonts w:hint="eastAsia" w:ascii="仿宋_GB2312" w:hAnsi="仿宋_GB2312" w:eastAsia="仿宋_GB2312" w:cs="仿宋_GB2312"/>
          <w:spacing w:val="-12"/>
          <w:w w:val="100"/>
          <w:sz w:val="32"/>
          <w:szCs w:val="32"/>
          <w:lang w:eastAsia="zh-CN"/>
        </w:rPr>
        <w:t>花卉产业</w:t>
      </w:r>
      <w:r>
        <w:rPr>
          <w:rFonts w:hint="eastAsia" w:ascii="仿宋_GB2312" w:hAnsi="仿宋_GB2312" w:eastAsia="仿宋_GB2312" w:cs="仿宋_GB2312"/>
          <w:spacing w:val="-12"/>
          <w:w w:val="100"/>
          <w:sz w:val="32"/>
          <w:szCs w:val="32"/>
        </w:rPr>
        <w:t>发展规划立足于商河区位与资源优势，以做大做优花卉产业发展现代高效农业为目标，以一二三产业融合发展为路径，以质量兴农、绿色兴农、科技兴农、品牌兴农为抓手，以推动花卉产业高质量发展为主题，明确设施花卉、高端盆花为主导，多业态多途径共进的发展方向，坚持多措并举，打造商河花卉产业集群，坚持产业赋能，实现花卉产业振兴发展。</w:t>
      </w:r>
      <w:r>
        <w:rPr>
          <w:rFonts w:hint="eastAsia" w:ascii="仿宋_GB2312" w:hAnsi="仿宋_GB2312" w:eastAsia="仿宋_GB2312" w:cs="仿宋_GB2312"/>
          <w:color w:val="000007"/>
          <w:spacing w:val="-4"/>
          <w:sz w:val="32"/>
          <w:szCs w:val="32"/>
        </w:rPr>
        <w:t>紧紧围绕</w:t>
      </w:r>
      <w:r>
        <w:rPr>
          <w:rFonts w:hint="eastAsia" w:ascii="仿宋_GB2312" w:hAnsi="仿宋_GB2312" w:eastAsia="仿宋_GB2312" w:cs="仿宋_GB2312"/>
          <w:color w:val="000007"/>
          <w:spacing w:val="-4"/>
          <w:sz w:val="32"/>
          <w:szCs w:val="32"/>
          <w:lang w:eastAsia="zh-CN"/>
        </w:rPr>
        <w:t>“</w:t>
      </w:r>
      <w:r>
        <w:rPr>
          <w:rFonts w:hint="eastAsia" w:ascii="仿宋_GB2312" w:hAnsi="仿宋_GB2312" w:eastAsia="仿宋_GB2312" w:cs="仿宋_GB2312"/>
          <w:color w:val="000007"/>
          <w:spacing w:val="-4"/>
          <w:sz w:val="32"/>
          <w:szCs w:val="32"/>
        </w:rPr>
        <w:t>温泉花乡，生态商河</w:t>
      </w:r>
      <w:r>
        <w:rPr>
          <w:rFonts w:hint="eastAsia" w:ascii="仿宋_GB2312" w:hAnsi="仿宋_GB2312" w:eastAsia="仿宋_GB2312" w:cs="仿宋_GB2312"/>
          <w:color w:val="000007"/>
          <w:spacing w:val="-4"/>
          <w:sz w:val="32"/>
          <w:szCs w:val="32"/>
          <w:lang w:eastAsia="zh-CN"/>
        </w:rPr>
        <w:t>”</w:t>
      </w:r>
      <w:r>
        <w:rPr>
          <w:rFonts w:hint="eastAsia" w:ascii="仿宋_GB2312" w:hAnsi="仿宋_GB2312" w:eastAsia="仿宋_GB2312" w:cs="仿宋_GB2312"/>
          <w:color w:val="000007"/>
          <w:spacing w:val="-4"/>
          <w:sz w:val="32"/>
          <w:szCs w:val="32"/>
        </w:rPr>
        <w:t>的发展定位，持续提</w:t>
      </w:r>
      <w:r>
        <w:rPr>
          <w:rFonts w:hint="eastAsia" w:ascii="仿宋_GB2312" w:hAnsi="仿宋_GB2312" w:eastAsia="仿宋_GB2312" w:cs="仿宋_GB2312"/>
          <w:color w:val="000007"/>
          <w:spacing w:val="-5"/>
          <w:sz w:val="32"/>
          <w:szCs w:val="32"/>
        </w:rPr>
        <w:t>升商河花卉产业的发展优势，构建新时期现代农业产业体系、生产体系、经营体系；积极拓展商河花卉产业功能，优化产</w:t>
      </w:r>
      <w:r>
        <w:rPr>
          <w:rFonts w:hint="eastAsia" w:ascii="仿宋_GB2312" w:hAnsi="仿宋_GB2312" w:eastAsia="仿宋_GB2312" w:cs="仿宋_GB2312"/>
          <w:color w:val="000007"/>
          <w:spacing w:val="-7"/>
          <w:sz w:val="32"/>
          <w:szCs w:val="32"/>
        </w:rPr>
        <w:t>业发展布局，扎实推进花卉产业的供给侧改革，延伸产业链条，促进产业深度融合，推动花卉产业高质高效绿色发展。</w:t>
      </w:r>
      <w:r>
        <w:rPr>
          <w:rFonts w:hint="eastAsia" w:ascii="仿宋_GB2312" w:hAnsi="仿宋_GB2312" w:eastAsia="仿宋_GB2312" w:cs="仿宋_GB2312"/>
          <w:color w:val="000007"/>
          <w:spacing w:val="-8"/>
          <w:sz w:val="32"/>
          <w:szCs w:val="32"/>
        </w:rPr>
        <w:t>把商河县花卉产业打造成中国北方温泉花卉硅谷，打造成黄</w:t>
      </w:r>
      <w:r>
        <w:rPr>
          <w:rFonts w:hint="eastAsia" w:ascii="仿宋_GB2312" w:hAnsi="仿宋_GB2312" w:eastAsia="仿宋_GB2312" w:cs="仿宋_GB2312"/>
          <w:color w:val="000007"/>
          <w:spacing w:val="-9"/>
          <w:sz w:val="32"/>
          <w:szCs w:val="32"/>
        </w:rPr>
        <w:t>河中下游花卉产业高质量发展先行区、北方设施花卉生产集</w:t>
      </w:r>
      <w:r>
        <w:rPr>
          <w:rFonts w:hint="eastAsia" w:ascii="仿宋_GB2312" w:hAnsi="仿宋_GB2312" w:eastAsia="仿宋_GB2312" w:cs="仿宋_GB2312"/>
          <w:color w:val="000007"/>
          <w:spacing w:val="-6"/>
          <w:sz w:val="32"/>
          <w:szCs w:val="32"/>
        </w:rPr>
        <w:t>群区，打造成高品质花卉会展经济融合示范区，打造成农商</w:t>
      </w:r>
      <w:r>
        <w:rPr>
          <w:rFonts w:hint="eastAsia" w:ascii="仿宋_GB2312" w:hAnsi="仿宋_GB2312" w:eastAsia="仿宋_GB2312" w:cs="仿宋_GB2312"/>
          <w:color w:val="000007"/>
          <w:spacing w:val="-7"/>
          <w:sz w:val="32"/>
          <w:szCs w:val="32"/>
        </w:rPr>
        <w:t>互联花卉智慧化产业中枢，打造成产城融合、康养生态主题农旅休闲生态高地</w:t>
      </w:r>
      <w:r>
        <w:rPr>
          <w:rFonts w:hint="eastAsia" w:ascii="仿宋_GB2312" w:hAnsi="仿宋_GB2312" w:eastAsia="仿宋_GB2312" w:cs="仿宋_GB2312"/>
          <w:color w:val="000007"/>
          <w:spacing w:val="-7"/>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综上所述，本规划纲要的实施是可行的。</w:t>
      </w:r>
    </w:p>
    <w:p>
      <w:pPr>
        <w:pStyle w:val="13"/>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60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bookmarkStart w:id="19" w:name="_bookmark17"/>
      <w:bookmarkEnd w:id="19"/>
      <w:r>
        <w:rPr>
          <w:rFonts w:hint="eastAsia" w:ascii="仿宋_GB2312" w:hAnsi="仿宋_GB2312" w:eastAsia="仿宋_GB2312" w:cs="仿宋_GB2312"/>
          <w:spacing w:val="-3"/>
          <w:sz w:val="32"/>
          <w:szCs w:val="32"/>
          <w:lang w:val="en-US" w:eastAsia="zh-CN"/>
        </w:rPr>
        <w:t>2.3.4</w:t>
      </w:r>
      <w:r>
        <w:rPr>
          <w:rFonts w:hint="eastAsia" w:ascii="仿宋_GB2312" w:hAnsi="仿宋_GB2312" w:eastAsia="仿宋_GB2312" w:cs="仿宋_GB2312"/>
          <w:spacing w:val="-3"/>
          <w:sz w:val="32"/>
          <w:szCs w:val="32"/>
        </w:rPr>
        <w:t>本规划纲要的风险可控性评估</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w:t>
      </w:r>
      <w:r>
        <w:rPr>
          <w:rFonts w:hint="eastAsia" w:ascii="仿宋_GB2312" w:hAnsi="仿宋_GB2312" w:eastAsia="仿宋_GB2312" w:cs="仿宋_GB2312"/>
          <w:spacing w:val="-4"/>
          <w:sz w:val="32"/>
          <w:szCs w:val="32"/>
        </w:rPr>
        <w:t>、风险因素识别</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本报告对《规划》的社会稳定风险因素做了全面</w:t>
      </w:r>
      <w:r>
        <w:rPr>
          <w:rFonts w:hint="eastAsia" w:ascii="仿宋_GB2312" w:hAnsi="仿宋_GB2312" w:eastAsia="仿宋_GB2312" w:cs="仿宋_GB2312"/>
          <w:spacing w:val="-4"/>
          <w:sz w:val="32"/>
          <w:szCs w:val="32"/>
          <w:lang w:eastAsia="zh-CN"/>
        </w:rPr>
        <w:t>地</w:t>
      </w:r>
      <w:r>
        <w:rPr>
          <w:rFonts w:hint="eastAsia" w:ascii="仿宋_GB2312" w:hAnsi="仿宋_GB2312" w:eastAsia="仿宋_GB2312" w:cs="仿宋_GB2312"/>
          <w:spacing w:val="-4"/>
          <w:sz w:val="32"/>
          <w:szCs w:val="32"/>
        </w:rPr>
        <w:t>识别，对主要</w:t>
      </w:r>
      <w:r>
        <w:rPr>
          <w:rFonts w:hint="eastAsia" w:ascii="仿宋_GB2312" w:hAnsi="仿宋_GB2312" w:eastAsia="仿宋_GB2312" w:cs="仿宋_GB2312"/>
          <w:spacing w:val="-7"/>
          <w:sz w:val="32"/>
          <w:szCs w:val="32"/>
        </w:rPr>
        <w:t>的社会稳定风险因素做了充分评估分析，并制定了具有针对性的风险</w:t>
      </w:r>
      <w:r>
        <w:rPr>
          <w:rFonts w:hint="eastAsia" w:ascii="仿宋_GB2312" w:hAnsi="仿宋_GB2312" w:eastAsia="仿宋_GB2312" w:cs="仿宋_GB2312"/>
          <w:spacing w:val="-2"/>
          <w:sz w:val="32"/>
          <w:szCs w:val="32"/>
        </w:rPr>
        <w:t>防范化解措施。</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2、各方意见、态度反馈情况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pacing w:val="-18"/>
          <w:sz w:val="32"/>
          <w:szCs w:val="32"/>
        </w:rPr>
        <w:t>年</w:t>
      </w:r>
      <w:r>
        <w:rPr>
          <w:rFonts w:hint="eastAsia" w:ascii="仿宋_GB2312" w:hAnsi="仿宋_GB2312" w:eastAsia="仿宋_GB2312" w:cs="仿宋_GB2312"/>
          <w:spacing w:val="-18"/>
          <w:sz w:val="32"/>
          <w:szCs w:val="32"/>
          <w:lang w:val="en-US" w:eastAsia="zh-CN"/>
        </w:rPr>
        <w:t>11</w:t>
      </w:r>
      <w:r>
        <w:rPr>
          <w:rFonts w:hint="eastAsia" w:ascii="仿宋_GB2312" w:hAnsi="仿宋_GB2312" w:eastAsia="仿宋_GB2312" w:cs="仿宋_GB2312"/>
          <w:sz w:val="32"/>
          <w:szCs w:val="32"/>
        </w:rPr>
        <w:t>月起向相关政府部门、企事业单位、社会公众等相关</w:t>
      </w:r>
      <w:r>
        <w:rPr>
          <w:rFonts w:hint="eastAsia" w:ascii="仿宋_GB2312" w:hAnsi="仿宋_GB2312" w:eastAsia="仿宋_GB2312" w:cs="仿宋_GB2312"/>
          <w:spacing w:val="-4"/>
          <w:sz w:val="32"/>
          <w:szCs w:val="32"/>
        </w:rPr>
        <w:t>利益群体广泛征求关于规划的意见、建议，相关利益群体纷纷建言献策，提出很多优秀建议，起草组不断对本规划纲要修改完善，社会稳</w:t>
      </w:r>
      <w:r>
        <w:rPr>
          <w:rFonts w:hint="eastAsia" w:ascii="仿宋_GB2312" w:hAnsi="仿宋_GB2312" w:eastAsia="仿宋_GB2312" w:cs="仿宋_GB2312"/>
          <w:spacing w:val="-2"/>
          <w:sz w:val="32"/>
          <w:szCs w:val="32"/>
        </w:rPr>
        <w:t>定风险总体可控。</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3、风险防范化解措施的落实</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1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报告对本规划纲要主要的社会稳定风险因素做了系统分析，并提</w:t>
      </w:r>
      <w:r>
        <w:rPr>
          <w:rFonts w:hint="eastAsia" w:ascii="仿宋_GB2312" w:hAnsi="仿宋_GB2312" w:eastAsia="仿宋_GB2312" w:cs="仿宋_GB2312"/>
          <w:spacing w:val="-8"/>
          <w:sz w:val="32"/>
          <w:szCs w:val="32"/>
        </w:rPr>
        <w:t>出了具有针对性的风险防范化解措施，在各有关单位落实风险防范化</w:t>
      </w:r>
      <w:r>
        <w:rPr>
          <w:rFonts w:hint="eastAsia" w:ascii="仿宋_GB2312" w:hAnsi="仿宋_GB2312" w:eastAsia="仿宋_GB2312" w:cs="仿宋_GB2312"/>
          <w:spacing w:val="-9"/>
          <w:sz w:val="32"/>
          <w:szCs w:val="32"/>
        </w:rPr>
        <w:t>解措施的情况下可以将影响降至最低；在县农业农村局与各职能部门</w:t>
      </w:r>
      <w:r>
        <w:rPr>
          <w:rFonts w:hint="eastAsia" w:ascii="仿宋_GB2312" w:hAnsi="仿宋_GB2312" w:eastAsia="仿宋_GB2312" w:cs="仿宋_GB2312"/>
          <w:spacing w:val="-12"/>
          <w:sz w:val="32"/>
          <w:szCs w:val="32"/>
        </w:rPr>
        <w:t>的共同协调下，可以对本规划纲要实施过程中产生的不稳定情况及各</w:t>
      </w:r>
      <w:r>
        <w:rPr>
          <w:rFonts w:hint="eastAsia" w:ascii="仿宋_GB2312" w:hAnsi="仿宋_GB2312" w:eastAsia="仿宋_GB2312" w:cs="仿宋_GB2312"/>
          <w:spacing w:val="-4"/>
          <w:sz w:val="32"/>
          <w:szCs w:val="32"/>
        </w:rPr>
        <w:t>种突发事件做到早发现、早预防、早解决，将不稳定情况或突发事件</w:t>
      </w:r>
      <w:r>
        <w:rPr>
          <w:rFonts w:hint="eastAsia" w:ascii="仿宋_GB2312" w:hAnsi="仿宋_GB2312" w:eastAsia="仿宋_GB2312" w:cs="仿宋_GB2312"/>
          <w:spacing w:val="-2"/>
          <w:sz w:val="32"/>
          <w:szCs w:val="32"/>
        </w:rPr>
        <w:t>抑制在萌芽阶段。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综合以上分析，在保证风险防范化解措施可以落实到位的情况下，本规划纲要实施可能引发的社会稳定风险是可控的。</w:t>
      </w:r>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bookmarkStart w:id="20" w:name="_Toc8014"/>
      <w:r>
        <w:rPr>
          <w:rFonts w:hint="eastAsia" w:ascii="仿宋_GB2312" w:hAnsi="仿宋_GB2312" w:eastAsia="仿宋_GB2312" w:cs="仿宋_GB2312"/>
          <w:spacing w:val="-4"/>
          <w:sz w:val="32"/>
          <w:szCs w:val="32"/>
          <w:lang w:val="en-US" w:eastAsia="zh-CN"/>
        </w:rPr>
        <w:t>2.4</w:t>
      </w:r>
      <w:r>
        <w:rPr>
          <w:rFonts w:hint="eastAsia" w:ascii="仿宋_GB2312" w:hAnsi="仿宋_GB2312" w:eastAsia="仿宋_GB2312" w:cs="仿宋_GB2312"/>
          <w:spacing w:val="-4"/>
          <w:sz w:val="32"/>
          <w:szCs w:val="32"/>
        </w:rPr>
        <w:t>利益相关者的意见</w:t>
      </w:r>
      <w:bookmarkEnd w:id="20"/>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为充分贯彻落实习近平总书记对</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十四五</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规划编制工作重要指示，根据国务院《重大行政决策程序暂行条例》要求，县农业农村局</w:t>
      </w:r>
      <w:r>
        <w:rPr>
          <w:rFonts w:hint="eastAsia" w:ascii="仿宋_GB2312" w:hAnsi="仿宋_GB2312" w:eastAsia="仿宋_GB2312" w:cs="仿宋_GB2312"/>
          <w:spacing w:val="-2"/>
          <w:sz w:val="32"/>
          <w:szCs w:val="32"/>
        </w:rPr>
        <w:t>在规划编制过程中充分听取县政府相关部门以及社会各界代表的意见和建议，不断对本规划纲要修改和完善。意见征询情况如下：</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4"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w:t>
      </w:r>
      <w:r>
        <w:rPr>
          <w:rFonts w:hint="eastAsia" w:ascii="仿宋_GB2312" w:hAnsi="仿宋_GB2312" w:eastAsia="仿宋_GB2312" w:cs="仿宋_GB2312"/>
          <w:spacing w:val="-4"/>
          <w:sz w:val="32"/>
          <w:szCs w:val="32"/>
          <w:lang w:eastAsia="zh-CN"/>
        </w:rPr>
        <w:t>县</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eastAsia="zh-CN"/>
        </w:rPr>
        <w:t>县府各处室</w:t>
      </w:r>
      <w:r>
        <w:rPr>
          <w:rFonts w:hint="eastAsia" w:ascii="仿宋_GB2312" w:hAnsi="仿宋_GB2312" w:eastAsia="仿宋_GB2312" w:cs="仿宋_GB2312"/>
          <w:spacing w:val="-4"/>
          <w:sz w:val="32"/>
          <w:szCs w:val="32"/>
        </w:rPr>
        <w:t>、市直各部门、各</w:t>
      </w:r>
      <w:r>
        <w:rPr>
          <w:rFonts w:hint="eastAsia" w:ascii="仿宋_GB2312" w:hAnsi="仿宋_GB2312" w:eastAsia="仿宋_GB2312" w:cs="仿宋_GB2312"/>
          <w:spacing w:val="-4"/>
          <w:sz w:val="32"/>
          <w:szCs w:val="32"/>
          <w:lang w:eastAsia="zh-CN"/>
        </w:rPr>
        <w:t>镇街、企业</w:t>
      </w:r>
      <w:r>
        <w:rPr>
          <w:rFonts w:hint="eastAsia" w:ascii="仿宋_GB2312" w:hAnsi="仿宋_GB2312" w:eastAsia="仿宋_GB2312" w:cs="仿宋_GB2312"/>
          <w:spacing w:val="-4"/>
          <w:sz w:val="32"/>
          <w:szCs w:val="32"/>
        </w:rPr>
        <w:t>征求意见情况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4" w:firstLineChars="200"/>
        <w:jc w:val="both"/>
        <w:textAlignment w:val="auto"/>
        <w:outlineLvl w:val="9"/>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rPr>
        <w:t>202</w:t>
      </w: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lang w:val="en-US" w:eastAsia="zh-CN"/>
        </w:rPr>
        <w:t>10</w:t>
      </w:r>
      <w:r>
        <w:rPr>
          <w:rFonts w:hint="eastAsia" w:ascii="仿宋_GB2312" w:hAnsi="仿宋_GB2312" w:eastAsia="仿宋_GB2312" w:cs="仿宋_GB2312"/>
          <w:spacing w:val="-4"/>
          <w:sz w:val="32"/>
          <w:szCs w:val="32"/>
        </w:rPr>
        <w:t>月形成初稿文件，提出</w:t>
      </w:r>
      <w:r>
        <w:rPr>
          <w:rFonts w:hint="eastAsia" w:ascii="仿宋_GB2312" w:hAnsi="仿宋_GB2312" w:eastAsia="仿宋_GB2312" w:cs="仿宋_GB2312"/>
          <w:spacing w:val="-4"/>
          <w:sz w:val="32"/>
          <w:szCs w:val="32"/>
          <w:lang w:eastAsia="zh-CN"/>
        </w:rPr>
        <w:t>“一核一轴三环五群”</w:t>
      </w:r>
      <w:r>
        <w:rPr>
          <w:rFonts w:hint="eastAsia" w:ascii="仿宋_GB2312" w:hAnsi="仿宋_GB2312" w:eastAsia="仿宋_GB2312" w:cs="仿宋_GB2312"/>
          <w:spacing w:val="-4"/>
          <w:sz w:val="32"/>
          <w:szCs w:val="32"/>
        </w:rPr>
        <w:t>的产业布局，并于202</w:t>
      </w: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lang w:val="en-US" w:eastAsia="zh-CN"/>
        </w:rPr>
        <w:t>11</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4"/>
          <w:sz w:val="32"/>
          <w:szCs w:val="32"/>
        </w:rPr>
        <w:t>日组织了第一次大型汇报会议，</w:t>
      </w:r>
      <w:r>
        <w:rPr>
          <w:rFonts w:hint="eastAsia" w:ascii="仿宋_GB2312" w:hAnsi="仿宋_GB2312" w:eastAsia="仿宋_GB2312" w:cs="仿宋_GB2312"/>
          <w:spacing w:val="-4"/>
          <w:sz w:val="32"/>
          <w:szCs w:val="32"/>
          <w:lang w:val="en-US" w:eastAsia="zh-CN"/>
        </w:rPr>
        <w:t>旦增曲央副县长肯定了花卉产业规划编制成果，并对下一步修改与完善规划提出要求：一是花卉产业要与十四五现代高效农业规划相衔接，与文旅，水务等专项规划相衔接。二是在立足商河花卉产业发展实际，找准发展目标定位，重点在政策扶持、要素供给、人才培养、金融服务等政策保障方面精准谋划，让规划更具有具体性、前瞻性、科学性、可操作性，努力为打造中国北方温泉花卉硅谷提供科学依据和指导。</w:t>
      </w:r>
      <w:r>
        <w:rPr>
          <w:rFonts w:hint="eastAsia" w:ascii="仿宋_GB2312" w:hAnsi="仿宋_GB2312" w:eastAsia="仿宋_GB2312" w:cs="仿宋_GB2312"/>
          <w:spacing w:val="-4"/>
          <w:sz w:val="32"/>
          <w:szCs w:val="32"/>
        </w:rPr>
        <w:t>于202</w:t>
      </w:r>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val="en-US" w:eastAsia="zh-CN"/>
        </w:rPr>
        <w:t>25</w:t>
      </w:r>
      <w:r>
        <w:rPr>
          <w:rFonts w:hint="eastAsia" w:ascii="仿宋_GB2312" w:hAnsi="仿宋_GB2312" w:eastAsia="仿宋_GB2312" w:cs="仿宋_GB2312"/>
          <w:spacing w:val="-4"/>
          <w:sz w:val="32"/>
          <w:szCs w:val="32"/>
        </w:rPr>
        <w:t>日在县委进行了第二次大型汇报，</w:t>
      </w:r>
      <w:r>
        <w:rPr>
          <w:rFonts w:hint="eastAsia" w:ascii="仿宋_GB2312" w:hAnsi="仿宋_GB2312" w:eastAsia="仿宋_GB2312" w:cs="仿宋_GB2312"/>
          <w:spacing w:val="-4"/>
          <w:sz w:val="32"/>
          <w:szCs w:val="32"/>
          <w:lang w:val="en-US" w:eastAsia="zh-CN"/>
        </w:rPr>
        <w:t>与会部门、专家、企业分别结合工作实际进行了座谈交流，大家一致认为此次产业规划产业分析到位、规划思路清晰、品牌定位准确，实施路径科学，并就进一步完善产业规划提出相关意见和建议。张成伟副县长并充分肯定了商河花卉产业发展规划编制成果。并对下一步规划编制工作提出具体要求：一是产业规划编制要与全县国土空间规划、现代高效农业十四五期间规划等相关规划相衔接，突出商河特点，做好项目谋划，既量身定做，又科学可行；二是积极征求汇总花卉科创团队、专家、企业及社会各界的意见建议，进一步修改完善规划内容；三是加快规划编制进度，高质量完成规划编制的基础上，尽快进行专家评审、公示等环节，使花卉规划尽快落地，为全县花卉产业发展提供引领借鉴。</w:t>
      </w:r>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bookmarkStart w:id="21" w:name="_Toc3743"/>
      <w:r>
        <w:rPr>
          <w:rFonts w:hint="eastAsia" w:ascii="仿宋_GB2312" w:hAnsi="仿宋_GB2312" w:eastAsia="仿宋_GB2312" w:cs="仿宋_GB2312"/>
          <w:spacing w:val="-4"/>
          <w:sz w:val="32"/>
          <w:szCs w:val="32"/>
          <w:lang w:val="en-US" w:eastAsia="zh-CN"/>
        </w:rPr>
        <w:t>2.5</w:t>
      </w:r>
      <w:r>
        <w:rPr>
          <w:rFonts w:hint="eastAsia" w:ascii="仿宋_GB2312" w:hAnsi="仿宋_GB2312" w:eastAsia="仿宋_GB2312" w:cs="仿宋_GB2312"/>
          <w:spacing w:val="-4"/>
          <w:sz w:val="32"/>
          <w:szCs w:val="32"/>
        </w:rPr>
        <w:t>媒体舆情调查</w:t>
      </w:r>
      <w:bookmarkEnd w:id="21"/>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相关主流媒体、贴吧等纷纷对上述会议和</w:t>
      </w:r>
      <w:r>
        <w:rPr>
          <w:rFonts w:hint="eastAsia" w:ascii="仿宋_GB2312" w:hAnsi="仿宋_GB2312" w:eastAsia="仿宋_GB2312" w:cs="仿宋_GB2312"/>
          <w:spacing w:val="-4"/>
          <w:sz w:val="32"/>
          <w:szCs w:val="32"/>
          <w:lang w:eastAsia="zh-CN"/>
        </w:rPr>
        <w:t>商河“</w:t>
      </w:r>
      <w:r>
        <w:rPr>
          <w:rFonts w:hint="eastAsia" w:ascii="仿宋_GB2312" w:hAnsi="仿宋_GB2312" w:eastAsia="仿宋_GB2312" w:cs="仿宋_GB2312"/>
          <w:spacing w:val="-4"/>
          <w:sz w:val="32"/>
          <w:szCs w:val="32"/>
        </w:rPr>
        <w:t>十四五</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规划相</w:t>
      </w:r>
      <w:r>
        <w:rPr>
          <w:rFonts w:hint="eastAsia" w:ascii="仿宋_GB2312" w:hAnsi="仿宋_GB2312" w:eastAsia="仿宋_GB2312" w:cs="仿宋_GB2312"/>
          <w:spacing w:val="-2"/>
          <w:sz w:val="32"/>
          <w:szCs w:val="32"/>
        </w:rPr>
        <w:t>关内容进行了发布、转载和评论。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通过查找各类网络媒体、网络论坛等，未见发现关于本规划纲要</w:t>
      </w:r>
      <w:r>
        <w:rPr>
          <w:rFonts w:hint="eastAsia" w:ascii="仿宋_GB2312" w:hAnsi="仿宋_GB2312" w:eastAsia="仿宋_GB2312" w:cs="仿宋_GB2312"/>
          <w:spacing w:val="-2"/>
          <w:sz w:val="32"/>
          <w:szCs w:val="32"/>
        </w:rPr>
        <w:t>的负面报道，未发现相关负面舆论。</w:t>
      </w:r>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bookmarkStart w:id="22" w:name="_Toc9060"/>
      <w:r>
        <w:rPr>
          <w:rFonts w:hint="eastAsia" w:ascii="仿宋_GB2312" w:hAnsi="仿宋_GB2312" w:eastAsia="仿宋_GB2312" w:cs="仿宋_GB2312"/>
          <w:spacing w:val="-3"/>
          <w:sz w:val="32"/>
          <w:szCs w:val="32"/>
          <w:lang w:val="en-US" w:eastAsia="zh-CN"/>
        </w:rPr>
        <w:t>2.6</w:t>
      </w:r>
      <w:r>
        <w:rPr>
          <w:rFonts w:hint="eastAsia" w:ascii="仿宋_GB2312" w:hAnsi="仿宋_GB2312" w:eastAsia="仿宋_GB2312" w:cs="仿宋_GB2312"/>
          <w:spacing w:val="-3"/>
          <w:sz w:val="32"/>
          <w:szCs w:val="32"/>
        </w:rPr>
        <w:t>决策事项引发的社会稳定风险</w:t>
      </w:r>
      <w:bookmarkEnd w:id="22"/>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中国社会科学院发布的</w:t>
      </w:r>
      <w:r>
        <w:rPr>
          <w:rFonts w:hint="eastAsia" w:ascii="仿宋_GB2312" w:hAnsi="仿宋_GB2312" w:eastAsia="仿宋_GB2312" w:cs="仿宋_GB2312"/>
          <w:sz w:val="32"/>
          <w:szCs w:val="32"/>
        </w:rPr>
        <w:t>2013年《社会蓝皮书》指出，近年来，</w:t>
      </w:r>
      <w:r>
        <w:rPr>
          <w:rFonts w:hint="eastAsia" w:ascii="仿宋_GB2312" w:hAnsi="仿宋_GB2312" w:eastAsia="仿宋_GB2312" w:cs="仿宋_GB2312"/>
          <w:spacing w:val="-2"/>
          <w:sz w:val="32"/>
          <w:szCs w:val="32"/>
        </w:rPr>
        <w:t>每年因各种社会矛盾而发生的群体性事件多达数万起甚至十余万起。</w:t>
      </w:r>
      <w:r>
        <w:rPr>
          <w:rFonts w:hint="eastAsia" w:ascii="仿宋_GB2312" w:hAnsi="仿宋_GB2312" w:eastAsia="仿宋_GB2312" w:cs="仿宋_GB2312"/>
          <w:spacing w:val="-18"/>
          <w:sz w:val="32"/>
          <w:szCs w:val="32"/>
        </w:rPr>
        <w:t>群体性事件的形成原因，以决策制定和规划的合理性、征收拆迁冲突、</w:t>
      </w:r>
      <w:r>
        <w:rPr>
          <w:rFonts w:hint="eastAsia" w:ascii="仿宋_GB2312" w:hAnsi="仿宋_GB2312" w:eastAsia="仿宋_GB2312" w:cs="仿宋_GB2312"/>
          <w:spacing w:val="-2"/>
          <w:sz w:val="32"/>
          <w:szCs w:val="32"/>
        </w:rPr>
        <w:t>环境污染冲突和劳动争议为主。</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针对同类项目引发社会稳定风险因素的调查，通过网络媒体报</w:t>
      </w:r>
      <w:r>
        <w:rPr>
          <w:rFonts w:hint="eastAsia" w:ascii="仿宋_GB2312" w:hAnsi="仿宋_GB2312" w:eastAsia="仿宋_GB2312" w:cs="仿宋_GB2312"/>
          <w:spacing w:val="-4"/>
          <w:sz w:val="32"/>
          <w:szCs w:val="32"/>
        </w:rPr>
        <w:t>道、相关网站的稳评公示和环评公示信息、报刊以及咨询当地相关部</w:t>
      </w:r>
      <w:r>
        <w:rPr>
          <w:rFonts w:hint="eastAsia" w:ascii="仿宋_GB2312" w:hAnsi="仿宋_GB2312" w:eastAsia="仿宋_GB2312" w:cs="仿宋_GB2312"/>
          <w:spacing w:val="-2"/>
          <w:sz w:val="32"/>
          <w:szCs w:val="32"/>
        </w:rPr>
        <w:t>门等渠道获得。</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中共中央纪委、监察部、</w:t>
      </w:r>
      <w:r>
        <w:rPr>
          <w:rFonts w:hint="eastAsia" w:ascii="仿宋_GB2312" w:hAnsi="仿宋_GB2312" w:eastAsia="仿宋_GB2312" w:cs="仿宋_GB2312"/>
          <w:spacing w:val="-4"/>
          <w:sz w:val="32"/>
          <w:szCs w:val="32"/>
          <w:lang w:eastAsia="zh-CN"/>
        </w:rPr>
        <w:t>人力资源和社会保障部</w:t>
      </w:r>
      <w:r>
        <w:rPr>
          <w:rFonts w:hint="eastAsia" w:ascii="仿宋_GB2312" w:hAnsi="仿宋_GB2312" w:eastAsia="仿宋_GB2312" w:cs="仿宋_GB2312"/>
          <w:spacing w:val="-4"/>
          <w:sz w:val="32"/>
          <w:szCs w:val="32"/>
        </w:rPr>
        <w:t>、国家信访局颁布实施的《关于违反信访工作纪律处分暂行规定》指出，对于决策违反法律法规和政策，严重损害群众利益，引发信访突出问题或群体性事</w:t>
      </w:r>
      <w:r>
        <w:rPr>
          <w:rFonts w:hint="eastAsia" w:ascii="仿宋_GB2312" w:hAnsi="仿宋_GB2312" w:eastAsia="仿宋_GB2312" w:cs="仿宋_GB2312"/>
          <w:spacing w:val="-2"/>
          <w:sz w:val="32"/>
          <w:szCs w:val="32"/>
        </w:rPr>
        <w:t>件的，负有直接责任者，给予记大过、降级、撤职或者开除处分。</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4" w:firstLineChars="200"/>
        <w:jc w:val="both"/>
        <w:textAlignment w:val="auto"/>
        <w:outlineLvl w:val="9"/>
        <w:rPr>
          <w:rFonts w:ascii="Times New Roman" w:hAnsi="Times New Roman" w:eastAsia="宋体"/>
        </w:rPr>
      </w:pPr>
      <w:r>
        <w:rPr>
          <w:rFonts w:hint="eastAsia" w:ascii="仿宋_GB2312" w:hAnsi="仿宋_GB2312" w:eastAsia="仿宋_GB2312" w:cs="仿宋_GB2312"/>
          <w:spacing w:val="-4"/>
          <w:sz w:val="32"/>
          <w:szCs w:val="32"/>
        </w:rPr>
        <w:t>国内同类项目曾引发的社会稳定风险事件，主要原因有：决策失误、决策违规违纪、项目未履行公示公告、侵犯了当地居民知情知悉的权利；项目存在暴力拆迁、违规占用问题等。以上事件可以对本规划纲要起到警示作用，应在制定社会稳定风险防范和化解措施、规划</w:t>
      </w:r>
      <w:r>
        <w:rPr>
          <w:rFonts w:hint="eastAsia" w:ascii="仿宋_GB2312" w:hAnsi="仿宋_GB2312" w:eastAsia="仿宋_GB2312" w:cs="仿宋_GB2312"/>
          <w:spacing w:val="-2"/>
          <w:sz w:val="32"/>
          <w:szCs w:val="32"/>
        </w:rPr>
        <w:t>决策阶段和规划实施阶段予以充分考虑</w:t>
      </w:r>
      <w:r>
        <w:rPr>
          <w:rFonts w:ascii="Times New Roman" w:hAnsi="Times New Roman" w:eastAsia="宋体"/>
          <w:spacing w:val="-2"/>
        </w:rPr>
        <w:t>。</w:t>
      </w:r>
    </w:p>
    <w:p>
      <w:pPr>
        <w:spacing w:after="0" w:line="364" w:lineRule="auto"/>
        <w:jc w:val="both"/>
        <w:rPr>
          <w:rFonts w:ascii="Times New Roman" w:hAnsi="Times New Roman" w:eastAsia="宋体"/>
        </w:rPr>
        <w:sectPr>
          <w:footerReference r:id="rId6" w:type="default"/>
          <w:pgSz w:w="11910" w:h="16840"/>
          <w:pgMar w:top="1440" w:right="1800" w:bottom="1440" w:left="1800" w:header="0" w:footer="975" w:gutter="0"/>
          <w:cols w:space="720" w:num="1"/>
        </w:sectPr>
      </w:pPr>
    </w:p>
    <w:p>
      <w:pPr>
        <w:pStyle w:val="2"/>
        <w:keepNext w:val="0"/>
        <w:keepLines w:val="0"/>
        <w:pageBreakBefore w:val="0"/>
        <w:widowControl w:val="0"/>
        <w:tabs>
          <w:tab w:val="left" w:pos="3171"/>
        </w:tabs>
        <w:kinsoku/>
        <w:wordWrap/>
        <w:overflowPunct/>
        <w:topLinePunct w:val="0"/>
        <w:autoSpaceDE w:val="0"/>
        <w:autoSpaceDN w:val="0"/>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val="0"/>
          <w:bCs w:val="0"/>
          <w:w w:val="95"/>
        </w:rPr>
      </w:pPr>
      <w:bookmarkStart w:id="23" w:name="_Toc4061"/>
      <w:r>
        <w:rPr>
          <w:rFonts w:hint="eastAsia" w:ascii="方正小标宋简体" w:hAnsi="方正小标宋简体" w:eastAsia="方正小标宋简体" w:cs="方正小标宋简体"/>
          <w:b w:val="0"/>
          <w:bCs w:val="0"/>
          <w:w w:val="95"/>
        </w:rPr>
        <w:t>第三章</w:t>
      </w:r>
      <w:r>
        <w:rPr>
          <w:rFonts w:hint="eastAsia" w:ascii="方正小标宋简体" w:hAnsi="方正小标宋简体" w:eastAsia="方正小标宋简体" w:cs="方正小标宋简体"/>
          <w:b w:val="0"/>
          <w:bCs w:val="0"/>
          <w:w w:val="95"/>
          <w:lang w:val="en-US" w:eastAsia="zh-CN"/>
        </w:rPr>
        <w:t xml:space="preserve"> </w:t>
      </w:r>
      <w:r>
        <w:rPr>
          <w:rFonts w:hint="eastAsia" w:ascii="方正小标宋简体" w:hAnsi="方正小标宋简体" w:eastAsia="方正小标宋简体" w:cs="方正小标宋简体"/>
          <w:b w:val="0"/>
          <w:bCs w:val="0"/>
          <w:w w:val="95"/>
        </w:rPr>
        <w:t>风险估计</w:t>
      </w:r>
      <w:bookmarkEnd w:id="23"/>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根据风险因素的成因、影响表现、风险分布、影响程度、发生可能性，采用定性与定量相结合的风险分析方法，对主要风险因素的风</w:t>
      </w:r>
      <w:r>
        <w:rPr>
          <w:rFonts w:hint="eastAsia" w:ascii="仿宋_GB2312" w:hAnsi="仿宋_GB2312" w:eastAsia="仿宋_GB2312" w:cs="仿宋_GB2312"/>
          <w:spacing w:val="-12"/>
          <w:sz w:val="32"/>
          <w:szCs w:val="32"/>
        </w:rPr>
        <w:t>险程度进行估计。对识别出的主要风险因素层层剖析引发风险的直接</w:t>
      </w:r>
      <w:r>
        <w:rPr>
          <w:rFonts w:hint="eastAsia" w:ascii="仿宋_GB2312" w:hAnsi="仿宋_GB2312" w:eastAsia="仿宋_GB2312" w:cs="仿宋_GB2312"/>
          <w:spacing w:val="-4"/>
          <w:sz w:val="32"/>
          <w:szCs w:val="32"/>
        </w:rPr>
        <w:t>和间接原因，预测和估计可能引发的风险事件，分析其引发风险事件</w:t>
      </w:r>
      <w:r>
        <w:rPr>
          <w:rFonts w:hint="eastAsia" w:ascii="仿宋_GB2312" w:hAnsi="仿宋_GB2312" w:eastAsia="仿宋_GB2312" w:cs="仿宋_GB2312"/>
          <w:spacing w:val="-2"/>
          <w:sz w:val="32"/>
          <w:szCs w:val="32"/>
        </w:rPr>
        <w:t>的可能性，判断其风险程度。</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通过对规划的风险点，群众关注点、关心程度以及群众对规划可接受度、容忍度及意愿度等方面综合考虑，结合借鉴以往类似规划经</w:t>
      </w:r>
      <w:r>
        <w:rPr>
          <w:rFonts w:hint="eastAsia" w:ascii="仿宋_GB2312" w:hAnsi="仿宋_GB2312" w:eastAsia="仿宋_GB2312" w:cs="仿宋_GB2312"/>
          <w:spacing w:val="-2"/>
          <w:sz w:val="32"/>
          <w:szCs w:val="32"/>
        </w:rPr>
        <w:t>验值及参考社稳相关文献等多种方式确定了单因素风险程度及权重</w:t>
      </w:r>
      <w:r>
        <w:rPr>
          <w:rFonts w:hint="eastAsia" w:ascii="仿宋_GB2312" w:hAnsi="仿宋_GB2312" w:eastAsia="仿宋_GB2312" w:cs="仿宋_GB2312"/>
          <w:spacing w:val="-6"/>
          <w:sz w:val="32"/>
          <w:szCs w:val="32"/>
        </w:rPr>
        <w:t>值。</w:t>
      </w:r>
    </w:p>
    <w:p>
      <w:pPr>
        <w:pStyle w:val="13"/>
        <w:keepNext w:val="0"/>
        <w:keepLines w:val="0"/>
        <w:pageBreakBefore w:val="0"/>
        <w:widowControl w:val="0"/>
        <w:numPr>
          <w:ilvl w:val="0"/>
          <w:numId w:val="0"/>
        </w:numPr>
        <w:tabs>
          <w:tab w:val="left" w:pos="1100"/>
        </w:tabs>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eastAsia" w:ascii="仿宋_GB2312" w:hAnsi="仿宋_GB2312" w:eastAsia="仿宋_GB2312" w:cs="仿宋_GB2312"/>
          <w:sz w:val="32"/>
          <w:szCs w:val="32"/>
        </w:rPr>
      </w:pPr>
      <w:bookmarkStart w:id="24" w:name="_Toc4426"/>
      <w:r>
        <w:rPr>
          <w:rFonts w:hint="eastAsia" w:ascii="仿宋_GB2312" w:hAnsi="仿宋_GB2312" w:eastAsia="仿宋_GB2312" w:cs="仿宋_GB2312"/>
          <w:b/>
          <w:bCs/>
          <w:spacing w:val="-4"/>
          <w:sz w:val="32"/>
          <w:szCs w:val="32"/>
          <w:lang w:val="en-US" w:eastAsia="zh-CN"/>
        </w:rPr>
        <w:t>3.1</w:t>
      </w:r>
      <w:r>
        <w:rPr>
          <w:rFonts w:hint="eastAsia" w:ascii="仿宋_GB2312" w:hAnsi="仿宋_GB2312" w:eastAsia="仿宋_GB2312" w:cs="仿宋_GB2312"/>
          <w:b/>
          <w:bCs/>
          <w:spacing w:val="-4"/>
          <w:sz w:val="32"/>
          <w:szCs w:val="32"/>
        </w:rPr>
        <w:t>规划的合理性</w:t>
      </w:r>
      <w:bookmarkEnd w:id="24"/>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本规划重点围绕全局性、前瞻性、关键性重大战略问题和突出短板，深入开展调查研究，</w:t>
      </w:r>
      <w:r>
        <w:rPr>
          <w:rFonts w:hint="eastAsia" w:ascii="仿宋_GB2312" w:hAnsi="仿宋_GB2312" w:eastAsia="仿宋_GB2312" w:cs="仿宋_GB2312"/>
          <w:color w:val="auto"/>
          <w:spacing w:val="-2"/>
          <w:sz w:val="32"/>
          <w:szCs w:val="32"/>
        </w:rPr>
        <w:t>综合分析论证和形势研判，就</w:t>
      </w:r>
      <w:r>
        <w:rPr>
          <w:rFonts w:hint="eastAsia" w:ascii="仿宋_GB2312" w:hAnsi="仿宋_GB2312" w:eastAsia="仿宋_GB2312" w:cs="仿宋_GB2312"/>
          <w:color w:val="auto"/>
          <w:spacing w:val="-2"/>
          <w:sz w:val="32"/>
          <w:szCs w:val="32"/>
          <w:lang w:eastAsia="zh-CN"/>
        </w:rPr>
        <w:t>产业规模、产业主题、产业平台、产业加工文旅、产业人才</w:t>
      </w:r>
      <w:r>
        <w:rPr>
          <w:rFonts w:hint="eastAsia" w:ascii="仿宋_GB2312" w:hAnsi="仿宋_GB2312" w:eastAsia="仿宋_GB2312" w:cs="仿宋_GB2312"/>
          <w:color w:val="auto"/>
          <w:spacing w:val="-2"/>
          <w:sz w:val="32"/>
          <w:szCs w:val="32"/>
        </w:rPr>
        <w:t>等方面，</w:t>
      </w:r>
      <w:r>
        <w:rPr>
          <w:rFonts w:hint="eastAsia" w:ascii="仿宋_GB2312" w:hAnsi="仿宋_GB2312" w:eastAsia="仿宋_GB2312" w:cs="仿宋_GB2312"/>
          <w:color w:val="auto"/>
          <w:spacing w:val="-19"/>
          <w:sz w:val="32"/>
          <w:szCs w:val="32"/>
        </w:rPr>
        <w:t>研究提出</w:t>
      </w:r>
      <w:r>
        <w:rPr>
          <w:rFonts w:hint="eastAsia" w:ascii="仿宋_GB2312" w:hAnsi="仿宋_GB2312" w:eastAsia="仿宋_GB2312" w:cs="仿宋_GB2312"/>
          <w:color w:val="auto"/>
          <w:spacing w:val="-19"/>
          <w:sz w:val="32"/>
          <w:szCs w:val="32"/>
          <w:lang w:eastAsia="zh-CN"/>
        </w:rPr>
        <w:t>“</w:t>
      </w:r>
      <w:r>
        <w:rPr>
          <w:rFonts w:hint="eastAsia" w:ascii="仿宋_GB2312" w:hAnsi="仿宋_GB2312" w:eastAsia="仿宋_GB2312" w:cs="仿宋_GB2312"/>
          <w:color w:val="auto"/>
          <w:spacing w:val="-19"/>
          <w:sz w:val="32"/>
          <w:szCs w:val="32"/>
        </w:rPr>
        <w:t>十四五</w:t>
      </w:r>
      <w:r>
        <w:rPr>
          <w:rFonts w:hint="eastAsia" w:ascii="仿宋_GB2312" w:hAnsi="仿宋_GB2312" w:eastAsia="仿宋_GB2312" w:cs="仿宋_GB2312"/>
          <w:color w:val="auto"/>
          <w:spacing w:val="-19"/>
          <w:sz w:val="32"/>
          <w:szCs w:val="32"/>
          <w:lang w:eastAsia="zh-CN"/>
        </w:rPr>
        <w:t>”</w:t>
      </w:r>
      <w:r>
        <w:rPr>
          <w:rFonts w:hint="eastAsia" w:ascii="仿宋_GB2312" w:hAnsi="仿宋_GB2312" w:eastAsia="仿宋_GB2312" w:cs="仿宋_GB2312"/>
          <w:color w:val="auto"/>
          <w:spacing w:val="-19"/>
          <w:sz w:val="32"/>
          <w:szCs w:val="32"/>
        </w:rPr>
        <w:t>时期商河</w:t>
      </w:r>
      <w:r>
        <w:rPr>
          <w:rFonts w:hint="eastAsia" w:ascii="仿宋_GB2312" w:hAnsi="仿宋_GB2312" w:eastAsia="仿宋_GB2312" w:cs="仿宋_GB2312"/>
          <w:color w:val="auto"/>
          <w:spacing w:val="-19"/>
          <w:sz w:val="32"/>
          <w:szCs w:val="32"/>
          <w:lang w:eastAsia="zh-CN"/>
        </w:rPr>
        <w:t>花卉产业</w:t>
      </w:r>
      <w:r>
        <w:rPr>
          <w:rFonts w:hint="eastAsia" w:ascii="仿宋_GB2312" w:hAnsi="仿宋_GB2312" w:eastAsia="仿宋_GB2312" w:cs="仿宋_GB2312"/>
          <w:color w:val="auto"/>
          <w:spacing w:val="-19"/>
          <w:sz w:val="32"/>
          <w:szCs w:val="32"/>
        </w:rPr>
        <w:t>发展</w:t>
      </w:r>
      <w:r>
        <w:rPr>
          <w:rFonts w:hint="eastAsia" w:ascii="仿宋_GB2312" w:hAnsi="仿宋_GB2312" w:eastAsia="仿宋_GB2312" w:cs="仿宋_GB2312"/>
          <w:color w:val="auto"/>
          <w:spacing w:val="-2"/>
          <w:sz w:val="32"/>
          <w:szCs w:val="32"/>
        </w:rPr>
        <w:t>的</w:t>
      </w:r>
      <w:r>
        <w:rPr>
          <w:rFonts w:hint="eastAsia" w:ascii="仿宋_GB2312" w:hAnsi="仿宋_GB2312" w:eastAsia="仿宋_GB2312" w:cs="仿宋_GB2312"/>
          <w:color w:val="auto"/>
          <w:spacing w:val="-2"/>
          <w:sz w:val="32"/>
          <w:szCs w:val="32"/>
          <w:lang w:eastAsia="zh-CN"/>
        </w:rPr>
        <w:t>要素建设、主体培育、人才建设、市场建设、品牌建设</w:t>
      </w:r>
      <w:r>
        <w:rPr>
          <w:rFonts w:hint="eastAsia" w:ascii="仿宋_GB2312" w:hAnsi="仿宋_GB2312" w:eastAsia="仿宋_GB2312" w:cs="仿宋_GB2312"/>
          <w:color w:val="auto"/>
          <w:spacing w:val="-2"/>
          <w:sz w:val="32"/>
          <w:szCs w:val="32"/>
        </w:rPr>
        <w:t>具体措施</w:t>
      </w:r>
      <w:r>
        <w:rPr>
          <w:rFonts w:hint="eastAsia" w:ascii="仿宋_GB2312" w:hAnsi="仿宋_GB2312" w:eastAsia="仿宋_GB2312" w:cs="仿宋_GB2312"/>
          <w:color w:val="auto"/>
          <w:spacing w:val="-2"/>
          <w:sz w:val="32"/>
          <w:szCs w:val="32"/>
          <w:lang w:eastAsia="zh-CN"/>
        </w:rPr>
        <w:t>。</w:t>
      </w:r>
      <w:r>
        <w:rPr>
          <w:rFonts w:hint="eastAsia" w:ascii="仿宋_GB2312" w:hAnsi="仿宋_GB2312" w:eastAsia="仿宋_GB2312" w:cs="仿宋_GB2312"/>
          <w:spacing w:val="-2"/>
          <w:sz w:val="32"/>
          <w:szCs w:val="32"/>
        </w:rPr>
        <w:t>一方面，实施规划的各项工程需要外部环境的支持，即所在区域政治、经济、社会环境和群众的认可及可承受力，建设和运营规划项目是否会加剧当地社会矛盾。另一方面规划的合理性能否被利益主体所接受，会否引起利益冲突等，若规划不合理容易在经济领域、社会治安、生态环境及制度等方面带来一定的风险。定性判断其单因素风险概率为较低、影响程度为较小，风险程度为较小风险。</w:t>
      </w:r>
    </w:p>
    <w:p>
      <w:pPr>
        <w:pStyle w:val="13"/>
        <w:keepNext w:val="0"/>
        <w:keepLines w:val="0"/>
        <w:pageBreakBefore w:val="0"/>
        <w:widowControl w:val="0"/>
        <w:numPr>
          <w:ilvl w:val="0"/>
          <w:numId w:val="0"/>
        </w:numPr>
        <w:tabs>
          <w:tab w:val="left" w:pos="1100"/>
        </w:tabs>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eastAsia" w:ascii="仿宋_GB2312" w:hAnsi="仿宋_GB2312" w:eastAsia="仿宋_GB2312" w:cs="仿宋_GB2312"/>
          <w:sz w:val="32"/>
          <w:szCs w:val="32"/>
        </w:rPr>
      </w:pPr>
      <w:bookmarkStart w:id="25" w:name="_Toc8938"/>
      <w:r>
        <w:rPr>
          <w:rFonts w:hint="eastAsia" w:ascii="仿宋_GB2312" w:hAnsi="仿宋_GB2312" w:eastAsia="仿宋_GB2312" w:cs="仿宋_GB2312"/>
          <w:b/>
          <w:bCs/>
          <w:spacing w:val="-4"/>
          <w:sz w:val="32"/>
          <w:szCs w:val="32"/>
          <w:lang w:val="en-US" w:eastAsia="zh-CN"/>
        </w:rPr>
        <w:t xml:space="preserve">3.2 </w:t>
      </w:r>
      <w:r>
        <w:rPr>
          <w:rFonts w:hint="eastAsia" w:ascii="仿宋_GB2312" w:hAnsi="仿宋_GB2312" w:eastAsia="仿宋_GB2312" w:cs="仿宋_GB2312"/>
          <w:b/>
          <w:bCs/>
          <w:spacing w:val="-4"/>
          <w:sz w:val="32"/>
          <w:szCs w:val="32"/>
        </w:rPr>
        <w:t>规划程序的合规性</w:t>
      </w:r>
      <w:bookmarkEnd w:id="25"/>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重大行政决策往往是对某事项进行宏观性和战略性的指导和把</w:t>
      </w:r>
      <w:r>
        <w:rPr>
          <w:rFonts w:hint="eastAsia" w:ascii="仿宋_GB2312" w:hAnsi="仿宋_GB2312" w:eastAsia="仿宋_GB2312" w:cs="仿宋_GB2312"/>
          <w:spacing w:val="-4"/>
          <w:sz w:val="32"/>
          <w:szCs w:val="32"/>
        </w:rPr>
        <w:t>控，对决策程序的合规性具有很高的要求，从决策启动、论证、风险评估、审查、讨论决定与公布、执行与调整等方面都需要严格按照相关程序办理。目前，县农业农村局已按照程序要求对本规划纲要进行了多次论证并征求了社会各界意见，县委县政府召开了多次会议，具备一定的合规性。但在后续的审查、审批及规划实施过程中还需进行进一步论证、集中讨论、公布、调整等环节，因此，本规划纲要在程</w:t>
      </w:r>
      <w:r>
        <w:rPr>
          <w:rFonts w:hint="eastAsia" w:ascii="仿宋_GB2312" w:hAnsi="仿宋_GB2312" w:eastAsia="仿宋_GB2312" w:cs="仿宋_GB2312"/>
          <w:spacing w:val="-6"/>
          <w:sz w:val="32"/>
          <w:szCs w:val="32"/>
        </w:rPr>
        <w:t>序的合规性方面还可能存在一定的不确定性风险。定性判断其单因素</w:t>
      </w:r>
      <w:r>
        <w:rPr>
          <w:rFonts w:hint="eastAsia" w:ascii="仿宋_GB2312" w:hAnsi="仿宋_GB2312" w:eastAsia="仿宋_GB2312" w:cs="仿宋_GB2312"/>
          <w:spacing w:val="-2"/>
          <w:sz w:val="32"/>
          <w:szCs w:val="32"/>
        </w:rPr>
        <w:t>风险概率为较低、影响程度为较小，风险程度为较小风险。</w:t>
      </w:r>
    </w:p>
    <w:p>
      <w:pPr>
        <w:pStyle w:val="13"/>
        <w:keepNext w:val="0"/>
        <w:keepLines w:val="0"/>
        <w:pageBreakBefore w:val="0"/>
        <w:widowControl w:val="0"/>
        <w:numPr>
          <w:ilvl w:val="0"/>
          <w:numId w:val="0"/>
        </w:numPr>
        <w:tabs>
          <w:tab w:val="left" w:pos="1100"/>
        </w:tabs>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eastAsia" w:ascii="仿宋_GB2312" w:hAnsi="仿宋_GB2312" w:eastAsia="仿宋_GB2312" w:cs="仿宋_GB2312"/>
          <w:sz w:val="32"/>
          <w:szCs w:val="32"/>
        </w:rPr>
      </w:pPr>
      <w:bookmarkStart w:id="26" w:name="_Toc11522"/>
      <w:r>
        <w:rPr>
          <w:rFonts w:hint="eastAsia" w:ascii="仿宋_GB2312" w:hAnsi="仿宋_GB2312" w:eastAsia="仿宋_GB2312" w:cs="仿宋_GB2312"/>
          <w:b/>
          <w:bCs/>
          <w:spacing w:val="-4"/>
          <w:sz w:val="32"/>
          <w:szCs w:val="32"/>
          <w:lang w:val="en-US" w:eastAsia="zh-CN"/>
        </w:rPr>
        <w:t xml:space="preserve">3.3 </w:t>
      </w:r>
      <w:r>
        <w:rPr>
          <w:rFonts w:hint="eastAsia" w:ascii="仿宋_GB2312" w:hAnsi="仿宋_GB2312" w:eastAsia="仿宋_GB2312" w:cs="仿宋_GB2312"/>
          <w:b/>
          <w:bCs/>
          <w:spacing w:val="-4"/>
          <w:sz w:val="32"/>
          <w:szCs w:val="32"/>
        </w:rPr>
        <w:t>财政能力</w:t>
      </w:r>
      <w:bookmarkEnd w:id="26"/>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
          <w:w w:val="100"/>
          <w:sz w:val="32"/>
          <w:szCs w:val="32"/>
        </w:rPr>
        <w:t>重大事项的财政能力及资金筹措方案是规划顺利进行的基本保</w:t>
      </w:r>
      <w:r>
        <w:rPr>
          <w:rFonts w:hint="eastAsia" w:ascii="仿宋_GB2312" w:hAnsi="仿宋_GB2312" w:eastAsia="仿宋_GB2312" w:cs="仿宋_GB2312"/>
          <w:spacing w:val="-10"/>
          <w:w w:val="100"/>
          <w:sz w:val="32"/>
          <w:szCs w:val="32"/>
        </w:rPr>
        <w:t>障，包括前期的研究，各项审批程序都需要资金的保障。政府关于财</w:t>
      </w:r>
      <w:r>
        <w:rPr>
          <w:rFonts w:hint="eastAsia" w:ascii="仿宋_GB2312" w:hAnsi="仿宋_GB2312" w:eastAsia="仿宋_GB2312" w:cs="仿宋_GB2312"/>
          <w:spacing w:val="-12"/>
          <w:w w:val="100"/>
          <w:sz w:val="32"/>
          <w:szCs w:val="32"/>
        </w:rPr>
        <w:t>政资源统筹、财政保障机制、预算管理制度改革、政府投融资渠道和融资结构、现代地方金融监管体系等方面还需要加强管理和</w:t>
      </w:r>
      <w:r>
        <w:rPr>
          <w:rFonts w:hint="eastAsia" w:ascii="仿宋_GB2312" w:hAnsi="仿宋_GB2312" w:eastAsia="仿宋_GB2312" w:cs="仿宋_GB2312"/>
          <w:spacing w:val="-12"/>
          <w:w w:val="100"/>
          <w:sz w:val="32"/>
          <w:szCs w:val="32"/>
          <w:lang w:eastAsia="zh-CN"/>
        </w:rPr>
        <w:t>调控</w:t>
      </w:r>
      <w:r>
        <w:rPr>
          <w:rFonts w:hint="eastAsia" w:ascii="仿宋_GB2312" w:hAnsi="仿宋_GB2312" w:eastAsia="仿宋_GB2312" w:cs="仿宋_GB2312"/>
          <w:spacing w:val="-12"/>
          <w:w w:val="100"/>
          <w:sz w:val="32"/>
          <w:szCs w:val="32"/>
        </w:rPr>
        <w:t>，因此，在政府财政能力和规划实施过程中的资金筹措与保障方面可能存</w:t>
      </w:r>
      <w:r>
        <w:rPr>
          <w:rFonts w:hint="eastAsia" w:ascii="仿宋_GB2312" w:hAnsi="仿宋_GB2312" w:eastAsia="仿宋_GB2312" w:cs="仿宋_GB2312"/>
          <w:spacing w:val="-19"/>
          <w:w w:val="100"/>
          <w:sz w:val="32"/>
          <w:szCs w:val="32"/>
        </w:rPr>
        <w:t>在一定的风险。定性判断其单因素风险概率为较低、影响程度为较小，</w:t>
      </w:r>
      <w:r>
        <w:rPr>
          <w:rFonts w:hint="eastAsia" w:ascii="仿宋_GB2312" w:hAnsi="仿宋_GB2312" w:eastAsia="仿宋_GB2312" w:cs="仿宋_GB2312"/>
          <w:spacing w:val="-3"/>
          <w:w w:val="100"/>
          <w:sz w:val="32"/>
          <w:szCs w:val="32"/>
        </w:rPr>
        <w:t>风险程度为较小风险。</w:t>
      </w:r>
    </w:p>
    <w:p>
      <w:pPr>
        <w:pStyle w:val="13"/>
        <w:keepNext w:val="0"/>
        <w:keepLines w:val="0"/>
        <w:pageBreakBefore w:val="0"/>
        <w:widowControl w:val="0"/>
        <w:numPr>
          <w:ilvl w:val="0"/>
          <w:numId w:val="0"/>
        </w:numPr>
        <w:tabs>
          <w:tab w:val="left" w:pos="1100"/>
        </w:tabs>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eastAsia" w:ascii="仿宋_GB2312" w:hAnsi="仿宋_GB2312" w:eastAsia="仿宋_GB2312" w:cs="仿宋_GB2312"/>
          <w:sz w:val="32"/>
          <w:szCs w:val="32"/>
        </w:rPr>
      </w:pPr>
      <w:bookmarkStart w:id="27" w:name="_Toc4037"/>
      <w:r>
        <w:rPr>
          <w:rFonts w:hint="eastAsia" w:ascii="仿宋_GB2312" w:hAnsi="仿宋_GB2312" w:eastAsia="仿宋_GB2312" w:cs="仿宋_GB2312"/>
          <w:b/>
          <w:bCs/>
          <w:spacing w:val="-4"/>
          <w:sz w:val="32"/>
          <w:szCs w:val="32"/>
          <w:lang w:val="en-US" w:eastAsia="zh-CN"/>
        </w:rPr>
        <w:t xml:space="preserve">3.4 </w:t>
      </w:r>
      <w:r>
        <w:rPr>
          <w:rFonts w:hint="eastAsia" w:ascii="仿宋_GB2312" w:hAnsi="仿宋_GB2312" w:eastAsia="仿宋_GB2312" w:cs="仿宋_GB2312"/>
          <w:b/>
          <w:bCs/>
          <w:spacing w:val="-4"/>
          <w:sz w:val="32"/>
          <w:szCs w:val="32"/>
        </w:rPr>
        <w:t>公众参与</w:t>
      </w:r>
      <w:bookmarkEnd w:id="27"/>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1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社会公众对于本规划纲要的参与只是某些环节的，在本规划纲要</w:t>
      </w:r>
      <w:r>
        <w:rPr>
          <w:rFonts w:hint="eastAsia" w:ascii="仿宋_GB2312" w:hAnsi="仿宋_GB2312" w:eastAsia="仿宋_GB2312" w:cs="仿宋_GB2312"/>
          <w:spacing w:val="-2"/>
          <w:sz w:val="32"/>
          <w:szCs w:val="32"/>
        </w:rPr>
        <w:t>的制定和实施过程中，需要广泛征求公众意见</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目前，本规划纲要的公众参与程度较低，公众的参与的深度和广度较为不足。除此之外，</w:t>
      </w:r>
      <w:r>
        <w:rPr>
          <w:rFonts w:hint="eastAsia" w:ascii="仿宋_GB2312" w:hAnsi="仿宋_GB2312" w:eastAsia="仿宋_GB2312" w:cs="仿宋_GB2312"/>
          <w:spacing w:val="-6"/>
          <w:sz w:val="32"/>
          <w:szCs w:val="32"/>
        </w:rPr>
        <w:t>目前本规划纲要的公众参与在参与管理上缺乏合理的机制，在法律上</w:t>
      </w:r>
      <w:r>
        <w:rPr>
          <w:rFonts w:hint="eastAsia" w:ascii="仿宋_GB2312" w:hAnsi="仿宋_GB2312" w:eastAsia="仿宋_GB2312" w:cs="仿宋_GB2312"/>
          <w:spacing w:val="-8"/>
          <w:sz w:val="32"/>
          <w:szCs w:val="32"/>
        </w:rPr>
        <w:t>和制度上也缺乏必要的支持与保障，对公众参与的具体方法和形式尚</w:t>
      </w:r>
      <w:r>
        <w:rPr>
          <w:rFonts w:hint="eastAsia" w:ascii="仿宋_GB2312" w:hAnsi="仿宋_GB2312" w:eastAsia="仿宋_GB2312" w:cs="仿宋_GB2312"/>
          <w:spacing w:val="-2"/>
          <w:sz w:val="32"/>
          <w:szCs w:val="32"/>
        </w:rPr>
        <w:t>未明确，使整个规划实施过程的公众参与效率和效果降低。公众参与相关的法律法规非常抽象，对具体的内容都没有做出详细的法律说明，存在着明显的不足和差距。定性判断其单因素风险概率为中等、影响程度中等，风险程度为一般风险。</w:t>
      </w:r>
    </w:p>
    <w:p>
      <w:pPr>
        <w:pStyle w:val="13"/>
        <w:keepNext w:val="0"/>
        <w:keepLines w:val="0"/>
        <w:pageBreakBefore w:val="0"/>
        <w:widowControl w:val="0"/>
        <w:numPr>
          <w:ilvl w:val="0"/>
          <w:numId w:val="0"/>
        </w:numPr>
        <w:tabs>
          <w:tab w:val="left" w:pos="1100"/>
        </w:tabs>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eastAsia" w:ascii="仿宋_GB2312" w:hAnsi="仿宋_GB2312" w:eastAsia="仿宋_GB2312" w:cs="仿宋_GB2312"/>
          <w:sz w:val="32"/>
          <w:szCs w:val="32"/>
        </w:rPr>
      </w:pPr>
      <w:bookmarkStart w:id="28" w:name="_Toc27273"/>
      <w:r>
        <w:rPr>
          <w:rFonts w:hint="eastAsia" w:ascii="仿宋_GB2312" w:hAnsi="仿宋_GB2312" w:eastAsia="仿宋_GB2312" w:cs="仿宋_GB2312"/>
          <w:b/>
          <w:bCs/>
          <w:spacing w:val="-4"/>
          <w:sz w:val="32"/>
          <w:szCs w:val="32"/>
          <w:lang w:val="en-US" w:eastAsia="zh-CN"/>
        </w:rPr>
        <w:t xml:space="preserve">3.5 </w:t>
      </w:r>
      <w:r>
        <w:rPr>
          <w:rFonts w:hint="eastAsia" w:ascii="仿宋_GB2312" w:hAnsi="仿宋_GB2312" w:eastAsia="仿宋_GB2312" w:cs="仿宋_GB2312"/>
          <w:b/>
          <w:bCs/>
          <w:spacing w:val="-4"/>
          <w:sz w:val="32"/>
          <w:szCs w:val="32"/>
        </w:rPr>
        <w:t>生态环境影响</w:t>
      </w:r>
      <w:bookmarkEnd w:id="28"/>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1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规划的实施伴随着各类项目的建设和运营，众多且庞大的工程项</w:t>
      </w:r>
      <w:r>
        <w:rPr>
          <w:rFonts w:hint="eastAsia" w:ascii="仿宋_GB2312" w:hAnsi="仿宋_GB2312" w:eastAsia="仿宋_GB2312" w:cs="仿宋_GB2312"/>
          <w:spacing w:val="-4"/>
          <w:sz w:val="32"/>
          <w:szCs w:val="32"/>
        </w:rPr>
        <w:t>目对环境影响的体量也是巨大的，因此，在项目建设过程中容易</w:t>
      </w:r>
      <w:r>
        <w:rPr>
          <w:rFonts w:hint="eastAsia" w:ascii="仿宋_GB2312" w:hAnsi="仿宋_GB2312" w:eastAsia="仿宋_GB2312" w:cs="仿宋_GB2312"/>
          <w:spacing w:val="-4"/>
          <w:sz w:val="32"/>
          <w:szCs w:val="32"/>
          <w:lang w:eastAsia="zh-CN"/>
        </w:rPr>
        <w:t>造成</w:t>
      </w:r>
      <w:r>
        <w:rPr>
          <w:rFonts w:hint="eastAsia" w:ascii="仿宋_GB2312" w:hAnsi="仿宋_GB2312" w:eastAsia="仿宋_GB2312" w:cs="仿宋_GB2312"/>
          <w:spacing w:val="-11"/>
          <w:sz w:val="32"/>
          <w:szCs w:val="32"/>
        </w:rPr>
        <w:t>生态环境的影响。在规划阶段要正确处理好项目的建设需求与城</w:t>
      </w:r>
      <w:r>
        <w:rPr>
          <w:rFonts w:hint="eastAsia" w:ascii="仿宋_GB2312" w:hAnsi="仿宋_GB2312" w:eastAsia="仿宋_GB2312" w:cs="仿宋_GB2312"/>
          <w:spacing w:val="-4"/>
          <w:sz w:val="32"/>
          <w:szCs w:val="32"/>
        </w:rPr>
        <w:t>市生态景观的协调统一，对于重点景观区域，不能做好相关的协调处理，容易引发群众的不满，引起社会稳定问题。但本规划重点还是发展</w:t>
      </w:r>
      <w:r>
        <w:rPr>
          <w:rFonts w:hint="eastAsia" w:ascii="仿宋_GB2312" w:hAnsi="仿宋_GB2312" w:eastAsia="仿宋_GB2312" w:cs="仿宋_GB2312"/>
          <w:spacing w:val="-4"/>
          <w:sz w:val="32"/>
          <w:szCs w:val="32"/>
          <w:lang w:eastAsia="zh-CN"/>
        </w:rPr>
        <w:t>花卉产业</w:t>
      </w:r>
      <w:r>
        <w:rPr>
          <w:rFonts w:hint="eastAsia" w:ascii="仿宋_GB2312" w:hAnsi="仿宋_GB2312" w:eastAsia="仿宋_GB2312" w:cs="仿宋_GB2312"/>
          <w:spacing w:val="-4"/>
          <w:sz w:val="32"/>
          <w:szCs w:val="32"/>
        </w:rPr>
        <w:t>，对生态环境多为改善，定性判断其单因素风险概率为较</w:t>
      </w:r>
      <w:r>
        <w:rPr>
          <w:rFonts w:hint="eastAsia" w:ascii="仿宋_GB2312" w:hAnsi="仿宋_GB2312" w:eastAsia="仿宋_GB2312" w:cs="仿宋_GB2312"/>
          <w:spacing w:val="-2"/>
          <w:sz w:val="32"/>
          <w:szCs w:val="32"/>
        </w:rPr>
        <w:t>低、影响程度为较小，风险程度为较小风险。</w:t>
      </w:r>
    </w:p>
    <w:p>
      <w:pPr>
        <w:pStyle w:val="13"/>
        <w:keepNext w:val="0"/>
        <w:keepLines w:val="0"/>
        <w:pageBreakBefore w:val="0"/>
        <w:widowControl w:val="0"/>
        <w:numPr>
          <w:ilvl w:val="0"/>
          <w:numId w:val="0"/>
        </w:numPr>
        <w:tabs>
          <w:tab w:val="left" w:pos="1100"/>
        </w:tabs>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eastAsia" w:ascii="仿宋_GB2312" w:hAnsi="仿宋_GB2312" w:eastAsia="仿宋_GB2312" w:cs="仿宋_GB2312"/>
          <w:sz w:val="32"/>
          <w:szCs w:val="32"/>
        </w:rPr>
      </w:pPr>
      <w:bookmarkStart w:id="29" w:name="_Toc32390"/>
      <w:r>
        <w:rPr>
          <w:rFonts w:hint="eastAsia" w:ascii="仿宋_GB2312" w:hAnsi="仿宋_GB2312" w:eastAsia="仿宋_GB2312" w:cs="仿宋_GB2312"/>
          <w:b/>
          <w:bCs/>
          <w:spacing w:val="-4"/>
          <w:sz w:val="32"/>
          <w:szCs w:val="32"/>
          <w:lang w:val="en-US" w:eastAsia="zh-CN"/>
        </w:rPr>
        <w:t xml:space="preserve">3.6 </w:t>
      </w:r>
      <w:r>
        <w:rPr>
          <w:rFonts w:hint="eastAsia" w:ascii="仿宋_GB2312" w:hAnsi="仿宋_GB2312" w:eastAsia="仿宋_GB2312" w:cs="仿宋_GB2312"/>
          <w:b/>
          <w:bCs/>
          <w:spacing w:val="-4"/>
          <w:sz w:val="32"/>
          <w:szCs w:val="32"/>
        </w:rPr>
        <w:t>生活生产影响</w:t>
      </w:r>
      <w:bookmarkEnd w:id="29"/>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规划的实施对</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群众的生产生活影响主要集中对居民文化、生</w:t>
      </w:r>
      <w:r>
        <w:rPr>
          <w:rFonts w:hint="eastAsia" w:ascii="仿宋_GB2312" w:hAnsi="仿宋_GB2312" w:eastAsia="仿宋_GB2312" w:cs="仿宋_GB2312"/>
          <w:spacing w:val="-4"/>
          <w:sz w:val="32"/>
          <w:szCs w:val="32"/>
        </w:rPr>
        <w:t>活、习俗影响，交通出行影响，种植作物影响，就业影响，商业经营影响等方面，但总体来说，影响不大。定性判断其单因素风险概率为</w:t>
      </w:r>
      <w:r>
        <w:rPr>
          <w:rFonts w:hint="eastAsia" w:ascii="仿宋_GB2312" w:hAnsi="仿宋_GB2312" w:eastAsia="仿宋_GB2312" w:cs="仿宋_GB2312"/>
          <w:spacing w:val="-2"/>
          <w:sz w:val="32"/>
          <w:szCs w:val="32"/>
        </w:rPr>
        <w:t>较低、影响程度为较小，风险程度为较小风险。</w:t>
      </w:r>
    </w:p>
    <w:p>
      <w:pPr>
        <w:pStyle w:val="13"/>
        <w:keepNext w:val="0"/>
        <w:keepLines w:val="0"/>
        <w:pageBreakBefore w:val="0"/>
        <w:widowControl w:val="0"/>
        <w:numPr>
          <w:ilvl w:val="0"/>
          <w:numId w:val="0"/>
        </w:numPr>
        <w:tabs>
          <w:tab w:val="left" w:pos="1100"/>
        </w:tabs>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eastAsia" w:ascii="仿宋_GB2312" w:hAnsi="仿宋_GB2312" w:eastAsia="仿宋_GB2312" w:cs="仿宋_GB2312"/>
          <w:sz w:val="32"/>
          <w:szCs w:val="32"/>
        </w:rPr>
      </w:pPr>
      <w:bookmarkStart w:id="30" w:name="_Toc3424"/>
      <w:r>
        <w:rPr>
          <w:rFonts w:hint="eastAsia" w:ascii="仿宋_GB2312" w:hAnsi="仿宋_GB2312" w:eastAsia="仿宋_GB2312" w:cs="仿宋_GB2312"/>
          <w:b/>
          <w:bCs/>
          <w:spacing w:val="-4"/>
          <w:sz w:val="32"/>
          <w:szCs w:val="32"/>
          <w:lang w:val="en-US" w:eastAsia="zh-CN"/>
        </w:rPr>
        <w:t xml:space="preserve">3.7 </w:t>
      </w:r>
      <w:r>
        <w:rPr>
          <w:rFonts w:hint="eastAsia" w:ascii="仿宋_GB2312" w:hAnsi="仿宋_GB2312" w:eastAsia="仿宋_GB2312" w:cs="仿宋_GB2312"/>
          <w:b/>
          <w:bCs/>
          <w:spacing w:val="-4"/>
          <w:sz w:val="32"/>
          <w:szCs w:val="32"/>
        </w:rPr>
        <w:t>基层群众舆情</w:t>
      </w:r>
      <w:bookmarkEnd w:id="30"/>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0" w:firstLineChars="200"/>
        <w:jc w:val="both"/>
        <w:textAlignment w:val="auto"/>
        <w:outlineLvl w:val="9"/>
        <w:rPr>
          <w:rFonts w:ascii="Times New Roman" w:hAnsi="Times New Roman" w:eastAsia="宋体"/>
        </w:rPr>
      </w:pPr>
      <w:r>
        <w:rPr>
          <w:rFonts w:hint="eastAsia" w:ascii="仿宋_GB2312" w:hAnsi="仿宋_GB2312" w:eastAsia="仿宋_GB2312" w:cs="仿宋_GB2312"/>
          <w:spacing w:val="-10"/>
          <w:w w:val="100"/>
          <w:sz w:val="32"/>
          <w:szCs w:val="32"/>
        </w:rPr>
        <w:t>在信息化发展迅速的当今社会，舆论传播及导向对规划实施具有</w:t>
      </w:r>
      <w:r>
        <w:rPr>
          <w:rFonts w:hint="eastAsia" w:ascii="仿宋_GB2312" w:hAnsi="仿宋_GB2312" w:eastAsia="仿宋_GB2312" w:cs="仿宋_GB2312"/>
          <w:spacing w:val="-12"/>
          <w:w w:val="100"/>
          <w:sz w:val="32"/>
          <w:szCs w:val="32"/>
        </w:rPr>
        <w:t>重要的影响。目前，公众表达诉求的意愿在不断提高，个人依托网络</w:t>
      </w:r>
      <w:r>
        <w:rPr>
          <w:rFonts w:hint="eastAsia" w:ascii="仿宋_GB2312" w:hAnsi="仿宋_GB2312" w:eastAsia="仿宋_GB2312" w:cs="仿宋_GB2312"/>
          <w:spacing w:val="-8"/>
          <w:w w:val="100"/>
          <w:sz w:val="32"/>
          <w:szCs w:val="32"/>
        </w:rPr>
        <w:t>向社会传播信息，使网民以极低的门槛成为信息的创造者和传播者，</w:t>
      </w:r>
      <w:r>
        <w:rPr>
          <w:rFonts w:hint="eastAsia" w:ascii="仿宋_GB2312" w:hAnsi="仿宋_GB2312" w:eastAsia="仿宋_GB2312" w:cs="仿宋_GB2312"/>
          <w:spacing w:val="-9"/>
          <w:w w:val="100"/>
          <w:sz w:val="32"/>
          <w:szCs w:val="32"/>
        </w:rPr>
        <w:t>舆论信息随时随地互动传播。公众可以随时随地发表自己的看法，持</w:t>
      </w:r>
      <w:r>
        <w:rPr>
          <w:rFonts w:hint="eastAsia" w:ascii="仿宋_GB2312" w:hAnsi="仿宋_GB2312" w:eastAsia="仿宋_GB2312" w:cs="仿宋_GB2312"/>
          <w:spacing w:val="-10"/>
          <w:w w:val="100"/>
          <w:sz w:val="32"/>
          <w:szCs w:val="32"/>
        </w:rPr>
        <w:t>有反对意见的人可以通过多种途径传播自己的思想，构成一项重要的</w:t>
      </w:r>
      <w:r>
        <w:rPr>
          <w:rFonts w:hint="eastAsia" w:ascii="仿宋_GB2312" w:hAnsi="仿宋_GB2312" w:eastAsia="仿宋_GB2312" w:cs="仿宋_GB2312"/>
          <w:spacing w:val="-11"/>
          <w:w w:val="100"/>
          <w:sz w:val="32"/>
          <w:szCs w:val="32"/>
        </w:rPr>
        <w:t>风险因素，部分群众不太了解规划相关方案和政策制定的依据，且相</w:t>
      </w:r>
      <w:r>
        <w:rPr>
          <w:rFonts w:hint="eastAsia" w:ascii="仿宋_GB2312" w:hAnsi="仿宋_GB2312" w:eastAsia="仿宋_GB2312" w:cs="仿宋_GB2312"/>
          <w:spacing w:val="3"/>
          <w:w w:val="100"/>
          <w:sz w:val="32"/>
          <w:szCs w:val="32"/>
        </w:rPr>
        <w:t>应的监督监察机制以及决策与相关政府部门的社稳工作联动机制尚</w:t>
      </w:r>
      <w:r>
        <w:rPr>
          <w:rFonts w:hint="eastAsia" w:ascii="仿宋_GB2312" w:hAnsi="仿宋_GB2312" w:eastAsia="仿宋_GB2312" w:cs="仿宋_GB2312"/>
          <w:spacing w:val="-9"/>
          <w:w w:val="100"/>
          <w:sz w:val="32"/>
          <w:szCs w:val="32"/>
        </w:rPr>
        <w:t>未完善，可能会对社会稳定造成一定影响。定性判断其单因素风险概</w:t>
      </w:r>
      <w:r>
        <w:rPr>
          <w:rFonts w:hint="eastAsia" w:ascii="仿宋_GB2312" w:hAnsi="仿宋_GB2312" w:eastAsia="仿宋_GB2312" w:cs="仿宋_GB2312"/>
          <w:spacing w:val="-6"/>
          <w:w w:val="100"/>
          <w:sz w:val="32"/>
          <w:szCs w:val="32"/>
        </w:rPr>
        <w:t>率为较低、影响程度为较小，风险程度为较小风险。</w:t>
      </w:r>
    </w:p>
    <w:p>
      <w:pPr>
        <w:rPr>
          <w:rFonts w:ascii="Times New Roman" w:hAnsi="Times New Roman" w:eastAsia="宋体"/>
          <w:w w:val="95"/>
        </w:rPr>
      </w:pPr>
      <w:bookmarkStart w:id="31" w:name="_Toc6478"/>
      <w:r>
        <w:rPr>
          <w:rFonts w:ascii="Times New Roman" w:hAnsi="Times New Roman" w:eastAsia="宋体"/>
          <w:w w:val="95"/>
        </w:rPr>
        <w:br w:type="page"/>
      </w:r>
    </w:p>
    <w:p>
      <w:pPr>
        <w:pStyle w:val="2"/>
        <w:keepNext w:val="0"/>
        <w:keepLines w:val="0"/>
        <w:pageBreakBefore w:val="0"/>
        <w:widowControl w:val="0"/>
        <w:tabs>
          <w:tab w:val="left" w:pos="3171"/>
        </w:tabs>
        <w:kinsoku/>
        <w:wordWrap/>
        <w:overflowPunct/>
        <w:topLinePunct w:val="0"/>
        <w:autoSpaceDE w:val="0"/>
        <w:autoSpaceDN w:val="0"/>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w w:val="95"/>
        </w:rPr>
        <w:t>第四</w:t>
      </w:r>
      <w:r>
        <w:rPr>
          <w:rFonts w:hint="eastAsia" w:ascii="方正小标宋简体" w:hAnsi="方正小标宋简体" w:eastAsia="方正小标宋简体" w:cs="方正小标宋简体"/>
          <w:b w:val="0"/>
          <w:bCs w:val="0"/>
          <w:spacing w:val="-10"/>
          <w:w w:val="95"/>
        </w:rPr>
        <w:t>章</w:t>
      </w:r>
      <w:r>
        <w:rPr>
          <w:rFonts w:hint="eastAsia" w:ascii="方正小标宋简体" w:hAnsi="方正小标宋简体" w:eastAsia="方正小标宋简体" w:cs="方正小标宋简体"/>
          <w:b w:val="0"/>
          <w:bCs w:val="0"/>
          <w:w w:val="95"/>
        </w:rPr>
        <w:t>风险防范和化解措</w:t>
      </w:r>
      <w:r>
        <w:rPr>
          <w:rFonts w:hint="eastAsia" w:ascii="方正小标宋简体" w:hAnsi="方正小标宋简体" w:eastAsia="方正小标宋简体" w:cs="方正小标宋简体"/>
          <w:b w:val="0"/>
          <w:bCs w:val="0"/>
          <w:spacing w:val="-10"/>
          <w:w w:val="95"/>
        </w:rPr>
        <w:t>施</w:t>
      </w:r>
      <w:bookmarkEnd w:id="31"/>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为了进一步从源头上防范、化解本规划纲要实施可能引发的社会</w:t>
      </w:r>
      <w:r>
        <w:rPr>
          <w:rFonts w:hint="eastAsia" w:ascii="仿宋_GB2312" w:hAnsi="仿宋_GB2312" w:eastAsia="仿宋_GB2312" w:cs="仿宋_GB2312"/>
          <w:spacing w:val="-4"/>
          <w:sz w:val="32"/>
          <w:szCs w:val="32"/>
        </w:rPr>
        <w:t>风险，最大限度减少不和谐因素，真正把社会稳定风险化解在萌芽状态，需要针对主要风险因素点提出风险防范化解措施。本报告针对梳</w:t>
      </w:r>
      <w:r>
        <w:rPr>
          <w:rFonts w:hint="eastAsia" w:ascii="仿宋_GB2312" w:hAnsi="仿宋_GB2312" w:eastAsia="仿宋_GB2312" w:cs="仿宋_GB2312"/>
          <w:spacing w:val="-2"/>
          <w:sz w:val="32"/>
          <w:szCs w:val="32"/>
        </w:rPr>
        <w:t>理出的主要风险因素点，提出了相关的风险防范化解措施。</w:t>
      </w:r>
    </w:p>
    <w:p>
      <w:pPr>
        <w:pStyle w:val="13"/>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600" w:lineRule="exact"/>
        <w:ind w:right="0" w:rightChars="0" w:firstLine="631" w:firstLineChars="200"/>
        <w:jc w:val="both"/>
        <w:textAlignment w:val="auto"/>
        <w:outlineLvl w:val="9"/>
        <w:rPr>
          <w:rFonts w:hint="eastAsia" w:ascii="仿宋_GB2312" w:hAnsi="仿宋_GB2312" w:eastAsia="仿宋_GB2312" w:cs="仿宋_GB2312"/>
          <w:sz w:val="32"/>
          <w:szCs w:val="32"/>
        </w:rPr>
      </w:pPr>
      <w:bookmarkStart w:id="32" w:name="_Toc16706"/>
      <w:r>
        <w:rPr>
          <w:rFonts w:hint="eastAsia" w:ascii="仿宋_GB2312" w:hAnsi="仿宋_GB2312" w:eastAsia="仿宋_GB2312" w:cs="仿宋_GB2312"/>
          <w:b/>
          <w:bCs/>
          <w:spacing w:val="-3"/>
          <w:sz w:val="32"/>
          <w:szCs w:val="32"/>
          <w:lang w:val="en-US" w:eastAsia="zh-CN"/>
        </w:rPr>
        <w:t xml:space="preserve">4.1 </w:t>
      </w:r>
      <w:r>
        <w:rPr>
          <w:rFonts w:hint="eastAsia" w:ascii="仿宋_GB2312" w:hAnsi="仿宋_GB2312" w:eastAsia="仿宋_GB2312" w:cs="仿宋_GB2312"/>
          <w:b/>
          <w:bCs/>
          <w:spacing w:val="-3"/>
          <w:sz w:val="32"/>
          <w:szCs w:val="32"/>
        </w:rPr>
        <w:t>规划合理性风险防范化解措施</w:t>
      </w:r>
      <w:bookmarkEnd w:id="32"/>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（一）</w:t>
      </w:r>
      <w:r>
        <w:rPr>
          <w:rFonts w:hint="eastAsia" w:ascii="仿宋_GB2312" w:hAnsi="仿宋_GB2312" w:eastAsia="仿宋_GB2312" w:cs="仿宋_GB2312"/>
          <w:spacing w:val="-3"/>
          <w:sz w:val="32"/>
          <w:szCs w:val="32"/>
        </w:rPr>
        <w:t>科学规划布局发展适度规模经济</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一是找准功能定位。以最</w:t>
      </w:r>
      <w:r>
        <w:rPr>
          <w:rFonts w:hint="eastAsia" w:ascii="仿宋_GB2312" w:hAnsi="仿宋_GB2312" w:eastAsia="仿宋_GB2312" w:cs="仿宋_GB2312"/>
          <w:spacing w:val="-4"/>
          <w:sz w:val="32"/>
          <w:szCs w:val="32"/>
          <w:lang w:val="en-US" w:eastAsia="zh-CN"/>
        </w:rPr>
        <w:t>高</w:t>
      </w:r>
      <w:r>
        <w:rPr>
          <w:rFonts w:hint="eastAsia" w:ascii="仿宋_GB2312" w:hAnsi="仿宋_GB2312" w:eastAsia="仿宋_GB2312" w:cs="仿宋_GB2312"/>
          <w:spacing w:val="-4"/>
          <w:sz w:val="32"/>
          <w:szCs w:val="32"/>
        </w:rPr>
        <w:t>标准、最</w:t>
      </w:r>
      <w:r>
        <w:rPr>
          <w:rFonts w:hint="eastAsia" w:ascii="仿宋_GB2312" w:hAnsi="仿宋_GB2312" w:eastAsia="仿宋_GB2312" w:cs="仿宋_GB2312"/>
          <w:spacing w:val="-4"/>
          <w:sz w:val="32"/>
          <w:szCs w:val="32"/>
          <w:lang w:val="en-US" w:eastAsia="zh-CN"/>
        </w:rPr>
        <w:t>高</w:t>
      </w:r>
      <w:r>
        <w:rPr>
          <w:rFonts w:hint="eastAsia" w:ascii="仿宋_GB2312" w:hAnsi="仿宋_GB2312" w:eastAsia="仿宋_GB2312" w:cs="仿宋_GB2312"/>
          <w:spacing w:val="-4"/>
          <w:sz w:val="32"/>
          <w:szCs w:val="32"/>
        </w:rPr>
        <w:t>水平作为农业产业发展参照系，在研究对标济南、京津冀、江苏、</w:t>
      </w:r>
      <w:r>
        <w:rPr>
          <w:rFonts w:hint="eastAsia" w:ascii="仿宋_GB2312" w:hAnsi="仿宋_GB2312" w:eastAsia="仿宋_GB2312" w:cs="仿宋_GB2312"/>
          <w:spacing w:val="-4"/>
          <w:sz w:val="32"/>
          <w:szCs w:val="32"/>
          <w:lang w:eastAsia="zh-CN"/>
        </w:rPr>
        <w:t>广州</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eastAsia="zh-CN"/>
        </w:rPr>
        <w:t>青州</w:t>
      </w:r>
      <w:r>
        <w:rPr>
          <w:rFonts w:hint="eastAsia" w:ascii="仿宋_GB2312" w:hAnsi="仿宋_GB2312" w:eastAsia="仿宋_GB2312" w:cs="仿宋_GB2312"/>
          <w:spacing w:val="-4"/>
          <w:sz w:val="32"/>
          <w:szCs w:val="32"/>
        </w:rPr>
        <w:t>等地区</w:t>
      </w:r>
      <w:r>
        <w:rPr>
          <w:rFonts w:hint="eastAsia" w:ascii="仿宋_GB2312" w:hAnsi="仿宋_GB2312" w:eastAsia="仿宋_GB2312" w:cs="仿宋_GB2312"/>
          <w:spacing w:val="-4"/>
          <w:sz w:val="32"/>
          <w:szCs w:val="32"/>
          <w:lang w:eastAsia="zh-CN"/>
        </w:rPr>
        <w:t>花卉产业</w:t>
      </w:r>
      <w:r>
        <w:rPr>
          <w:rFonts w:hint="eastAsia" w:ascii="仿宋_GB2312" w:hAnsi="仿宋_GB2312" w:eastAsia="仿宋_GB2312" w:cs="仿宋_GB2312"/>
          <w:spacing w:val="-4"/>
          <w:sz w:val="32"/>
          <w:szCs w:val="32"/>
        </w:rPr>
        <w:t>定位</w:t>
      </w:r>
      <w:r>
        <w:rPr>
          <w:rFonts w:hint="eastAsia" w:ascii="仿宋_GB2312" w:hAnsi="仿宋_GB2312" w:eastAsia="仿宋_GB2312" w:cs="仿宋_GB2312"/>
          <w:spacing w:val="-2"/>
          <w:sz w:val="32"/>
          <w:szCs w:val="32"/>
        </w:rPr>
        <w:t>的基础上，结合自身实际，发展</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高精尖</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和</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名特优</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大型城市需要的</w:t>
      </w:r>
      <w:r>
        <w:rPr>
          <w:rFonts w:hint="eastAsia" w:ascii="仿宋_GB2312" w:hAnsi="仿宋_GB2312" w:eastAsia="仿宋_GB2312" w:cs="仿宋_GB2312"/>
          <w:spacing w:val="-2"/>
          <w:sz w:val="32"/>
          <w:szCs w:val="32"/>
          <w:lang w:eastAsia="zh-CN"/>
        </w:rPr>
        <w:t>高端花卉</w:t>
      </w:r>
      <w:r>
        <w:rPr>
          <w:rFonts w:hint="eastAsia" w:ascii="仿宋_GB2312" w:hAnsi="仿宋_GB2312" w:eastAsia="仿宋_GB2312" w:cs="仿宋_GB2312"/>
          <w:spacing w:val="-2"/>
          <w:sz w:val="32"/>
          <w:szCs w:val="32"/>
        </w:rPr>
        <w:t>产品。二是科学规划布局。</w:t>
      </w:r>
      <w:r>
        <w:rPr>
          <w:rFonts w:hint="eastAsia" w:ascii="仿宋_GB2312" w:hAnsi="仿宋_GB2312" w:eastAsia="仿宋_GB2312" w:cs="仿宋_GB2312"/>
          <w:color w:val="000007"/>
          <w:spacing w:val="-1"/>
          <w:sz w:val="32"/>
          <w:szCs w:val="32"/>
        </w:rPr>
        <w:t>按照商河县花卉产业发</w:t>
      </w:r>
      <w:r>
        <w:rPr>
          <w:rFonts w:hint="eastAsia" w:ascii="仿宋_GB2312" w:hAnsi="仿宋_GB2312" w:eastAsia="仿宋_GB2312" w:cs="仿宋_GB2312"/>
          <w:color w:val="000007"/>
          <w:spacing w:val="-3"/>
          <w:sz w:val="32"/>
          <w:szCs w:val="32"/>
        </w:rPr>
        <w:t>展的目标和定位，以调结构、强产业、建标准、补短板、提</w:t>
      </w:r>
      <w:r>
        <w:rPr>
          <w:rFonts w:hint="eastAsia" w:ascii="仿宋_GB2312" w:hAnsi="仿宋_GB2312" w:eastAsia="仿宋_GB2312" w:cs="仿宋_GB2312"/>
          <w:color w:val="000007"/>
          <w:spacing w:val="-4"/>
          <w:sz w:val="32"/>
          <w:szCs w:val="32"/>
        </w:rPr>
        <w:t>质量、扩市场、增效益为目的，深度融合加工、文旅等新产</w:t>
      </w:r>
      <w:r>
        <w:rPr>
          <w:rFonts w:hint="eastAsia" w:ascii="仿宋_GB2312" w:hAnsi="仿宋_GB2312" w:eastAsia="仿宋_GB2312" w:cs="仿宋_GB2312"/>
          <w:color w:val="000007"/>
          <w:spacing w:val="-5"/>
          <w:sz w:val="32"/>
          <w:szCs w:val="32"/>
        </w:rPr>
        <w:t>业业态，实施花卉产业集群发展战略，着力推进商河县花卉产业可持续高质量发展</w:t>
      </w:r>
      <w:r>
        <w:rPr>
          <w:rFonts w:hint="eastAsia" w:ascii="仿宋_GB2312" w:hAnsi="仿宋_GB2312" w:eastAsia="仿宋_GB2312" w:cs="仿宋_GB2312"/>
          <w:spacing w:val="-2"/>
          <w:sz w:val="32"/>
          <w:szCs w:val="32"/>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（二）</w:t>
      </w:r>
      <w:r>
        <w:rPr>
          <w:rFonts w:hint="eastAsia" w:ascii="仿宋_GB2312" w:hAnsi="仿宋_GB2312" w:eastAsia="仿宋_GB2312" w:cs="仿宋_GB2312"/>
          <w:spacing w:val="-3"/>
          <w:sz w:val="32"/>
          <w:szCs w:val="32"/>
        </w:rPr>
        <w:t>创建产业平台促进</w:t>
      </w:r>
      <w:r>
        <w:rPr>
          <w:rFonts w:hint="eastAsia" w:ascii="仿宋_GB2312" w:hAnsi="仿宋_GB2312" w:eastAsia="仿宋_GB2312" w:cs="仿宋_GB2312"/>
          <w:spacing w:val="-3"/>
          <w:sz w:val="32"/>
          <w:szCs w:val="32"/>
          <w:lang w:eastAsia="zh-CN"/>
        </w:rPr>
        <w:t>科技引领</w:t>
      </w:r>
      <w:r>
        <w:rPr>
          <w:rFonts w:hint="eastAsia" w:ascii="仿宋_GB2312" w:hAnsi="仿宋_GB2312" w:eastAsia="仿宋_GB2312" w:cs="仿宋_GB2312"/>
          <w:spacing w:val="-3"/>
          <w:sz w:val="32"/>
          <w:szCs w:val="32"/>
        </w:rPr>
        <w:t>发展</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统筹各类资源，创建科技发展平台，打造山东花卉产业技术创新的集成中心、转化中心和应用中心，形成新的增长动力源泉，促进花卉产业新成果、新技术在商河转移、转化和落地，推动商河花卉产业持续健康发展。</w:t>
      </w:r>
      <w:r>
        <w:rPr>
          <w:rFonts w:hint="eastAsia" w:ascii="仿宋_GB2312" w:hAnsi="仿宋_GB2312" w:eastAsia="仿宋_GB2312" w:cs="仿宋_GB2312"/>
          <w:color w:val="000007"/>
          <w:sz w:val="32"/>
          <w:szCs w:val="32"/>
        </w:rPr>
        <w:t>以技术创新研发、信息集成服务、市场交易会展、工商金融服务、人才引智培训等为建设重点，强化花卉产业支撑</w:t>
      </w:r>
      <w:r>
        <w:rPr>
          <w:rFonts w:hint="eastAsia" w:ascii="仿宋_GB2312" w:hAnsi="仿宋_GB2312" w:eastAsia="仿宋_GB2312" w:cs="仿宋_GB2312"/>
          <w:color w:val="000007"/>
          <w:w w:val="95"/>
          <w:sz w:val="32"/>
          <w:szCs w:val="32"/>
        </w:rPr>
        <w:t>及服务平台建设，搭建商河花卉产业腾飞的加油站、助推器。</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（三）</w:t>
      </w:r>
      <w:r>
        <w:rPr>
          <w:rFonts w:hint="eastAsia" w:ascii="仿宋_GB2312" w:hAnsi="仿宋_GB2312" w:eastAsia="仿宋_GB2312" w:cs="仿宋_GB2312"/>
          <w:spacing w:val="-3"/>
          <w:sz w:val="32"/>
          <w:szCs w:val="32"/>
        </w:rPr>
        <w:t>分类培育经营主体完善层次结构</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z w:val="32"/>
          <w:szCs w:val="32"/>
        </w:rPr>
        <w:t>促进新型经营主体多元共生发展，有利于更好地完善不同类型新型花卉产业经营主体之间各展其长、竞争合作、优势互补的发展格局； 有利于更好地发挥龙头企业的引领和带动作用，建立立体式复合型现代农业经营体系，形成产业互补联动、上下承接的联农助农产业经营氛围。</w:t>
      </w:r>
      <w:r>
        <w:rPr>
          <w:rFonts w:hint="eastAsia" w:ascii="仿宋_GB2312" w:hAnsi="仿宋_GB2312" w:eastAsia="仿宋_GB2312" w:cs="仿宋_GB2312"/>
          <w:color w:val="000007"/>
          <w:spacing w:val="-1"/>
          <w:w w:val="95"/>
          <w:sz w:val="32"/>
          <w:szCs w:val="32"/>
          <w:lang w:eastAsia="zh-CN"/>
        </w:rPr>
        <w:t>一是</w:t>
      </w:r>
      <w:r>
        <w:rPr>
          <w:rFonts w:hint="eastAsia" w:ascii="仿宋_GB2312" w:hAnsi="仿宋_GB2312" w:eastAsia="仿宋_GB2312" w:cs="仿宋_GB2312"/>
          <w:color w:val="000007"/>
          <w:spacing w:val="-1"/>
          <w:w w:val="95"/>
          <w:sz w:val="32"/>
          <w:szCs w:val="32"/>
        </w:rPr>
        <w:t xml:space="preserve">培育壮大产业化龙头企业，加大花卉龙头企业扶持力度， </w:t>
      </w:r>
      <w:r>
        <w:rPr>
          <w:rFonts w:hint="eastAsia" w:ascii="仿宋_GB2312" w:hAnsi="仿宋_GB2312" w:eastAsia="仿宋_GB2312" w:cs="仿宋_GB2312"/>
          <w:color w:val="000007"/>
          <w:spacing w:val="-4"/>
          <w:sz w:val="32"/>
          <w:szCs w:val="32"/>
        </w:rPr>
        <w:t xml:space="preserve">强化基地建设、技术创新、品牌创建和人才培训，重点打造 </w:t>
      </w:r>
      <w:r>
        <w:rPr>
          <w:rFonts w:hint="eastAsia" w:ascii="仿宋_GB2312" w:hAnsi="仿宋_GB2312" w:eastAsia="仿宋_GB2312" w:cs="仿宋_GB2312"/>
          <w:color w:val="000007"/>
          <w:spacing w:val="-5"/>
          <w:sz w:val="32"/>
          <w:szCs w:val="32"/>
        </w:rPr>
        <w:t>一批科技型、创新型、特色化花卉龙头企业。</w:t>
      </w:r>
      <w:r>
        <w:rPr>
          <w:rFonts w:hint="eastAsia" w:ascii="仿宋_GB2312" w:hAnsi="仿宋_GB2312" w:eastAsia="仿宋_GB2312" w:cs="仿宋_GB2312"/>
          <w:color w:val="000007"/>
          <w:spacing w:val="-5"/>
          <w:sz w:val="32"/>
          <w:szCs w:val="32"/>
          <w:lang w:eastAsia="zh-CN"/>
        </w:rPr>
        <w:t>二是</w:t>
      </w:r>
      <w:r>
        <w:rPr>
          <w:rFonts w:hint="eastAsia" w:ascii="仿宋_GB2312" w:hAnsi="仿宋_GB2312" w:eastAsia="仿宋_GB2312" w:cs="仿宋_GB2312"/>
          <w:color w:val="000007"/>
          <w:sz w:val="32"/>
          <w:szCs w:val="32"/>
        </w:rPr>
        <w:t>培育家庭农场</w:t>
      </w:r>
      <w:r>
        <w:rPr>
          <w:rFonts w:hint="eastAsia" w:ascii="仿宋_GB2312" w:hAnsi="仿宋_GB2312" w:eastAsia="仿宋_GB2312" w:cs="仿宋_GB2312"/>
          <w:color w:val="000007"/>
          <w:sz w:val="32"/>
          <w:szCs w:val="32"/>
          <w:lang w:eastAsia="zh-CN"/>
        </w:rPr>
        <w:t>，</w:t>
      </w:r>
      <w:r>
        <w:rPr>
          <w:rFonts w:hint="eastAsia" w:ascii="仿宋_GB2312" w:hAnsi="仿宋_GB2312" w:eastAsia="仿宋_GB2312" w:cs="仿宋_GB2312"/>
          <w:color w:val="000007"/>
          <w:sz w:val="32"/>
          <w:szCs w:val="32"/>
        </w:rPr>
        <w:t>结合</w:t>
      </w:r>
      <w:r>
        <w:rPr>
          <w:rFonts w:hint="eastAsia" w:ascii="仿宋_GB2312" w:hAnsi="仿宋_GB2312" w:eastAsia="仿宋_GB2312" w:cs="仿宋_GB2312"/>
          <w:color w:val="000007"/>
          <w:sz w:val="32"/>
          <w:szCs w:val="32"/>
          <w:lang w:eastAsia="zh-CN"/>
        </w:rPr>
        <w:t>“</w:t>
      </w:r>
      <w:r>
        <w:rPr>
          <w:rFonts w:hint="eastAsia" w:ascii="仿宋_GB2312" w:hAnsi="仿宋_GB2312" w:eastAsia="仿宋_GB2312" w:cs="仿宋_GB2312"/>
          <w:color w:val="000007"/>
          <w:sz w:val="32"/>
          <w:szCs w:val="32"/>
        </w:rPr>
        <w:t>一村一品</w:t>
      </w:r>
      <w:r>
        <w:rPr>
          <w:rFonts w:hint="eastAsia" w:ascii="仿宋_GB2312" w:hAnsi="仿宋_GB2312" w:eastAsia="仿宋_GB2312" w:cs="仿宋_GB2312"/>
          <w:color w:val="000007"/>
          <w:sz w:val="32"/>
          <w:szCs w:val="32"/>
          <w:lang w:eastAsia="zh-CN"/>
        </w:rPr>
        <w:t>”</w:t>
      </w:r>
      <w:r>
        <w:rPr>
          <w:rFonts w:hint="eastAsia" w:ascii="仿宋_GB2312" w:hAnsi="仿宋_GB2312" w:eastAsia="仿宋_GB2312" w:cs="仿宋_GB2312"/>
          <w:color w:val="000007"/>
          <w:sz w:val="32"/>
          <w:szCs w:val="32"/>
        </w:rPr>
        <w:t>示范村镇创建等优势特色农业培育工</w:t>
      </w:r>
      <w:r>
        <w:rPr>
          <w:rFonts w:hint="eastAsia" w:ascii="仿宋_GB2312" w:hAnsi="仿宋_GB2312" w:eastAsia="仿宋_GB2312" w:cs="仿宋_GB2312"/>
          <w:color w:val="000007"/>
          <w:w w:val="95"/>
          <w:sz w:val="32"/>
          <w:szCs w:val="32"/>
        </w:rPr>
        <w:t>作，发现培养一批花卉种植能手和专业大户，引导花卉种植</w:t>
      </w:r>
      <w:r>
        <w:rPr>
          <w:rFonts w:hint="eastAsia" w:ascii="仿宋_GB2312" w:hAnsi="仿宋_GB2312" w:eastAsia="仿宋_GB2312" w:cs="仿宋_GB2312"/>
          <w:color w:val="000007"/>
          <w:sz w:val="32"/>
          <w:szCs w:val="32"/>
        </w:rPr>
        <w:t>的专业大户向家庭农场</w:t>
      </w:r>
      <w:r>
        <w:rPr>
          <w:rFonts w:hint="eastAsia" w:ascii="仿宋_GB2312" w:hAnsi="仿宋_GB2312" w:eastAsia="仿宋_GB2312" w:cs="仿宋_GB2312"/>
          <w:color w:val="000007"/>
          <w:sz w:val="32"/>
          <w:szCs w:val="32"/>
          <w:lang w:eastAsia="zh-CN"/>
        </w:rPr>
        <w:t>。三是</w:t>
      </w:r>
      <w:r>
        <w:rPr>
          <w:rFonts w:hint="eastAsia" w:ascii="仿宋_GB2312" w:hAnsi="仿宋_GB2312" w:eastAsia="仿宋_GB2312" w:cs="仿宋_GB2312"/>
          <w:color w:val="000007"/>
          <w:sz w:val="32"/>
          <w:szCs w:val="32"/>
        </w:rPr>
        <w:t>培育花卉专业合作社</w:t>
      </w:r>
      <w:r>
        <w:rPr>
          <w:rFonts w:hint="eastAsia" w:ascii="仿宋_GB2312" w:hAnsi="仿宋_GB2312" w:eastAsia="仿宋_GB2312" w:cs="仿宋_GB2312"/>
          <w:color w:val="000007"/>
          <w:sz w:val="32"/>
          <w:szCs w:val="32"/>
          <w:lang w:eastAsia="zh-CN"/>
        </w:rPr>
        <w:t>，</w:t>
      </w:r>
      <w:r>
        <w:rPr>
          <w:rFonts w:hint="eastAsia" w:ascii="仿宋_GB2312" w:hAnsi="仿宋_GB2312" w:eastAsia="仿宋_GB2312" w:cs="仿宋_GB2312"/>
          <w:color w:val="000007"/>
          <w:spacing w:val="-1"/>
          <w:sz w:val="32"/>
          <w:szCs w:val="32"/>
        </w:rPr>
        <w:t>推进花卉专业合作社建设，保证每个花卉产业优势村至</w:t>
      </w:r>
      <w:r>
        <w:rPr>
          <w:rFonts w:hint="eastAsia" w:ascii="仿宋_GB2312" w:hAnsi="仿宋_GB2312" w:eastAsia="仿宋_GB2312" w:cs="仿宋_GB2312"/>
          <w:color w:val="000007"/>
          <w:spacing w:val="-3"/>
          <w:sz w:val="32"/>
          <w:szCs w:val="32"/>
        </w:rPr>
        <w:t>少建立一个花卉专业合作社，每个花卉优势产业至少建立一</w:t>
      </w:r>
      <w:r>
        <w:rPr>
          <w:rFonts w:hint="eastAsia" w:ascii="仿宋_GB2312" w:hAnsi="仿宋_GB2312" w:eastAsia="仿宋_GB2312" w:cs="仿宋_GB2312"/>
          <w:color w:val="000007"/>
          <w:spacing w:val="-5"/>
          <w:sz w:val="32"/>
          <w:szCs w:val="32"/>
        </w:rPr>
        <w:t>个专业合作社</w:t>
      </w:r>
      <w:r>
        <w:rPr>
          <w:rFonts w:hint="eastAsia" w:ascii="仿宋_GB2312" w:hAnsi="仿宋_GB2312" w:eastAsia="仿宋_GB2312" w:cs="仿宋_GB2312"/>
          <w:color w:val="000007"/>
          <w:sz w:val="32"/>
          <w:szCs w:val="32"/>
        </w:rPr>
        <w:t>，引导和支持花卉专业合作社在更大范围、更深程度上参与和推动花卉产业发展，成为引导广大农民有序进入市场增加收入的载体和主力军。</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（四）</w:t>
      </w:r>
      <w:r>
        <w:rPr>
          <w:rFonts w:hint="eastAsia" w:ascii="仿宋_GB2312" w:hAnsi="仿宋_GB2312" w:eastAsia="仿宋_GB2312" w:cs="仿宋_GB2312"/>
          <w:spacing w:val="-2"/>
          <w:sz w:val="32"/>
          <w:szCs w:val="32"/>
          <w:lang w:val="en-US" w:eastAsia="zh-CN"/>
        </w:rPr>
        <w:t>聚焦产业融合拓展全产业链条发展</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color w:val="000007"/>
          <w:sz w:val="32"/>
          <w:szCs w:val="32"/>
          <w:lang w:val="en-US" w:eastAsia="zh-CN"/>
        </w:rPr>
      </w:pPr>
      <w:r>
        <w:rPr>
          <w:rFonts w:hint="eastAsia" w:ascii="仿宋_GB2312" w:hAnsi="仿宋_GB2312" w:eastAsia="仿宋_GB2312" w:cs="仿宋_GB2312"/>
          <w:color w:val="000007"/>
          <w:sz w:val="32"/>
          <w:szCs w:val="32"/>
          <w:lang w:val="en-US" w:eastAsia="zh-CN"/>
        </w:rPr>
        <w:t>一是以国家农业科技园为核心，推进温泉花卉科技创新研发中心、鲜花港、冷链物流平台、智慧服务平台、电商营销平台等服务设施建设，打造科技研发、种苗培育、生产示范、展览展示、电商物流、会展旅游全产业链条。二是依托花卉园艺博览会，积极搭建省会经济圈、黄河流域花卉产业交流合作平台，产销对接平台，发展花卉电商基地，积极争取输美温室建设，开拓花卉出口业务，拓展花卉销售物流新方式，不断扩大花卉产业规模产值和市场占有份额。三是实施品牌发展战略，加大“温泉花卉”区域公用品牌、企业品牌、产品品牌策划和宣传推介力度，提高品牌服务能力水平；鼓励龙头企业参加国家级以上花卉园艺博览会，争创名牌产品；支持新型花卉经营主体开展全程专业化服务，提升花卉服务业水平，推动产业服务向一体化服务发展。</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（五）</w:t>
      </w:r>
      <w:r>
        <w:rPr>
          <w:rFonts w:hint="eastAsia" w:ascii="仿宋_GB2312" w:hAnsi="仿宋_GB2312" w:eastAsia="仿宋_GB2312" w:cs="仿宋_GB2312"/>
          <w:spacing w:val="-3"/>
          <w:sz w:val="32"/>
          <w:szCs w:val="32"/>
        </w:rPr>
        <w:t>强化人才队伍健全新型科创体系</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z w:val="32"/>
          <w:szCs w:val="32"/>
        </w:rPr>
        <w:t>加强花卉产业专业技术人才支撑建设。采取多种方式招才引智，既要建立高端人才顶层设计与管理体系，更要强化产业序列各类人才的培育。采取</w:t>
      </w:r>
      <w:r>
        <w:rPr>
          <w:rFonts w:hint="eastAsia" w:ascii="仿宋_GB2312" w:hAnsi="仿宋_GB2312" w:eastAsia="仿宋_GB2312" w:cs="仿宋_GB2312"/>
          <w:color w:val="000007"/>
          <w:sz w:val="32"/>
          <w:szCs w:val="32"/>
          <w:lang w:eastAsia="zh-CN"/>
        </w:rPr>
        <w:t>“</w:t>
      </w:r>
      <w:r>
        <w:rPr>
          <w:rFonts w:hint="eastAsia" w:ascii="仿宋_GB2312" w:hAnsi="仿宋_GB2312" w:eastAsia="仿宋_GB2312" w:cs="仿宋_GB2312"/>
          <w:color w:val="000007"/>
          <w:sz w:val="32"/>
          <w:szCs w:val="32"/>
        </w:rPr>
        <w:t>政府推动、社会化办学、市场化运作</w:t>
      </w:r>
      <w:r>
        <w:rPr>
          <w:rFonts w:hint="eastAsia" w:ascii="仿宋_GB2312" w:hAnsi="仿宋_GB2312" w:eastAsia="仿宋_GB2312" w:cs="仿宋_GB2312"/>
          <w:color w:val="000007"/>
          <w:sz w:val="32"/>
          <w:szCs w:val="32"/>
          <w:lang w:eastAsia="zh-CN"/>
        </w:rPr>
        <w:t>”</w:t>
      </w:r>
      <w:r>
        <w:rPr>
          <w:rFonts w:hint="eastAsia" w:ascii="仿宋_GB2312" w:hAnsi="仿宋_GB2312" w:eastAsia="仿宋_GB2312" w:cs="仿宋_GB2312"/>
          <w:color w:val="000007"/>
          <w:sz w:val="32"/>
          <w:szCs w:val="32"/>
        </w:rPr>
        <w:t>的方式，建立由各级花卉协会、有关院校、花卉企业为主体的花卉产业专业技术人才教育培训体系，加大人才培养力度。</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7"/>
          <w:spacing w:val="-1"/>
          <w:sz w:val="32"/>
          <w:szCs w:val="32"/>
        </w:rPr>
        <w:t>加强花卉产业全链条科技赋能工程建设。从品种源头到</w:t>
      </w:r>
      <w:r>
        <w:rPr>
          <w:rFonts w:hint="eastAsia" w:ascii="仿宋_GB2312" w:hAnsi="仿宋_GB2312" w:eastAsia="仿宋_GB2312" w:cs="仿宋_GB2312"/>
          <w:color w:val="000007"/>
          <w:spacing w:val="-3"/>
          <w:sz w:val="32"/>
          <w:szCs w:val="32"/>
        </w:rPr>
        <w:t>市场终端、从种植技术到节能降耗、从产品研发到服务体系</w:t>
      </w:r>
      <w:r>
        <w:rPr>
          <w:rFonts w:hint="eastAsia" w:ascii="仿宋_GB2312" w:hAnsi="仿宋_GB2312" w:eastAsia="仿宋_GB2312" w:cs="仿宋_GB2312"/>
          <w:color w:val="000007"/>
          <w:spacing w:val="-16"/>
          <w:w w:val="95"/>
          <w:sz w:val="32"/>
          <w:szCs w:val="32"/>
        </w:rPr>
        <w:t xml:space="preserve">保障、从展会经济到农文旅休闲，全方位实施科技赋能工程。 </w:t>
      </w:r>
      <w:r>
        <w:rPr>
          <w:rFonts w:hint="eastAsia" w:ascii="仿宋_GB2312" w:hAnsi="仿宋_GB2312" w:eastAsia="仿宋_GB2312" w:cs="仿宋_GB2312"/>
          <w:color w:val="000007"/>
          <w:spacing w:val="-16"/>
          <w:sz w:val="32"/>
          <w:szCs w:val="32"/>
        </w:rPr>
        <w:t>高起点、高质量、高站位实现商河花卉产业的腾飞。</w:t>
      </w:r>
    </w:p>
    <w:p>
      <w:pPr>
        <w:pStyle w:val="13"/>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600" w:lineRule="exact"/>
        <w:ind w:right="0" w:rightChars="0" w:firstLine="631" w:firstLineChars="200"/>
        <w:jc w:val="both"/>
        <w:textAlignment w:val="auto"/>
        <w:outlineLvl w:val="9"/>
        <w:rPr>
          <w:rFonts w:hint="eastAsia" w:ascii="仿宋_GB2312" w:hAnsi="仿宋_GB2312" w:eastAsia="仿宋_GB2312" w:cs="仿宋_GB2312"/>
          <w:sz w:val="32"/>
          <w:szCs w:val="32"/>
        </w:rPr>
      </w:pPr>
      <w:bookmarkStart w:id="33" w:name="_Toc18077"/>
      <w:r>
        <w:rPr>
          <w:rFonts w:hint="eastAsia" w:ascii="仿宋_GB2312" w:hAnsi="仿宋_GB2312" w:eastAsia="仿宋_GB2312" w:cs="仿宋_GB2312"/>
          <w:b/>
          <w:bCs/>
          <w:spacing w:val="-3"/>
          <w:sz w:val="32"/>
          <w:szCs w:val="32"/>
          <w:lang w:val="en-US" w:eastAsia="zh-CN"/>
        </w:rPr>
        <w:t xml:space="preserve">4.2 </w:t>
      </w:r>
      <w:r>
        <w:rPr>
          <w:rFonts w:hint="eastAsia" w:ascii="仿宋_GB2312" w:hAnsi="仿宋_GB2312" w:eastAsia="仿宋_GB2312" w:cs="仿宋_GB2312"/>
          <w:b/>
          <w:bCs/>
          <w:spacing w:val="-3"/>
          <w:sz w:val="32"/>
          <w:szCs w:val="32"/>
        </w:rPr>
        <w:t>规划程序的合规性风险防范化解措施</w:t>
      </w:r>
      <w:bookmarkEnd w:id="33"/>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1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eastAsia="zh-CN"/>
        </w:rPr>
        <w:t>商河县花卉产业“十四五”发展规划</w:t>
      </w:r>
      <w:r>
        <w:rPr>
          <w:rFonts w:hint="eastAsia" w:ascii="仿宋_GB2312" w:hAnsi="仿宋_GB2312" w:eastAsia="仿宋_GB2312" w:cs="仿宋_GB2312"/>
          <w:spacing w:val="-7"/>
          <w:sz w:val="32"/>
          <w:szCs w:val="32"/>
        </w:rPr>
        <w:t>》在程序方面严格</w:t>
      </w:r>
      <w:r>
        <w:rPr>
          <w:rFonts w:hint="eastAsia" w:ascii="仿宋_GB2312" w:hAnsi="仿宋_GB2312" w:eastAsia="仿宋_GB2312" w:cs="仿宋_GB2312"/>
          <w:spacing w:val="-2"/>
          <w:sz w:val="32"/>
          <w:szCs w:val="32"/>
        </w:rPr>
        <w:t>按照《重大行政决策程序暂行条例》（中华人民共和国国务院令第713号）和《山东省重大行政决策程序规定》（</w:t>
      </w:r>
      <w:r>
        <w:rPr>
          <w:rFonts w:hint="eastAsia" w:ascii="仿宋_GB2312" w:hAnsi="仿宋_GB2312" w:eastAsia="仿宋_GB2312" w:cs="仿宋_GB2312"/>
          <w:spacing w:val="-3"/>
          <w:sz w:val="32"/>
          <w:szCs w:val="32"/>
        </w:rPr>
        <w:t>山东省人民政府令第</w:t>
      </w:r>
      <w:r>
        <w:rPr>
          <w:rFonts w:hint="eastAsia" w:ascii="仿宋_GB2312" w:hAnsi="仿宋_GB2312" w:eastAsia="仿宋_GB2312" w:cs="仿宋_GB2312"/>
          <w:sz w:val="32"/>
          <w:szCs w:val="32"/>
        </w:rPr>
        <w:t>336号）等文件要求执行。尤其从决策启动、公众参与、专家论证、</w:t>
      </w:r>
      <w:r>
        <w:rPr>
          <w:rFonts w:hint="eastAsia" w:ascii="仿宋_GB2312" w:hAnsi="仿宋_GB2312" w:eastAsia="仿宋_GB2312" w:cs="仿宋_GB2312"/>
          <w:spacing w:val="-4"/>
          <w:sz w:val="32"/>
          <w:szCs w:val="32"/>
        </w:rPr>
        <w:t>风险评估、审查、讨论决定与公布、执行与调整等方面都需要严格按</w:t>
      </w:r>
      <w:r>
        <w:rPr>
          <w:rFonts w:hint="eastAsia" w:ascii="仿宋_GB2312" w:hAnsi="仿宋_GB2312" w:eastAsia="仿宋_GB2312" w:cs="仿宋_GB2312"/>
          <w:spacing w:val="-2"/>
          <w:sz w:val="32"/>
          <w:szCs w:val="32"/>
        </w:rPr>
        <w:t>照相关程序办理。</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县农业农村局应当深入调查研究，全面、准确掌握决策所需信息，</w:t>
      </w:r>
      <w:r>
        <w:rPr>
          <w:rFonts w:hint="eastAsia" w:ascii="仿宋_GB2312" w:hAnsi="仿宋_GB2312" w:eastAsia="仿宋_GB2312" w:cs="仿宋_GB2312"/>
          <w:spacing w:val="-2"/>
          <w:sz w:val="32"/>
          <w:szCs w:val="32"/>
        </w:rPr>
        <w:t>充分协商协调，结合实际拟定决策草案，在过程中应当听取法律顾问和公职律师的意见。可以采取座谈会、书面征求意见、向社会公开征求意见、实地走访、听证会、问卷调查、民意调查等多种方式广泛听</w:t>
      </w:r>
      <w:r>
        <w:rPr>
          <w:rFonts w:hint="eastAsia" w:ascii="仿宋_GB2312" w:hAnsi="仿宋_GB2312" w:eastAsia="仿宋_GB2312" w:cs="仿宋_GB2312"/>
          <w:spacing w:val="-20"/>
          <w:sz w:val="32"/>
          <w:szCs w:val="32"/>
        </w:rPr>
        <w:t>取意见。充分利用政府门户网站、社交媒体、移动互联网等信息网络，</w:t>
      </w:r>
      <w:r>
        <w:rPr>
          <w:rFonts w:hint="eastAsia" w:ascii="仿宋_GB2312" w:hAnsi="仿宋_GB2312" w:eastAsia="仿宋_GB2312" w:cs="仿宋_GB2312"/>
          <w:spacing w:val="-2"/>
          <w:sz w:val="32"/>
          <w:szCs w:val="32"/>
        </w:rPr>
        <w:t>拓展公众参与渠道，增强公众参与效果。对专业性、技术性较强的决</w:t>
      </w:r>
      <w:r>
        <w:rPr>
          <w:rFonts w:hint="eastAsia" w:ascii="仿宋_GB2312" w:hAnsi="仿宋_GB2312" w:eastAsia="仿宋_GB2312" w:cs="仿宋_GB2312"/>
          <w:spacing w:val="-18"/>
          <w:sz w:val="32"/>
          <w:szCs w:val="32"/>
        </w:rPr>
        <w:t>策事项，应当组织专家、专业机构论证其必要性、可行性、科学性等，</w:t>
      </w:r>
      <w:r>
        <w:rPr>
          <w:rFonts w:hint="eastAsia" w:ascii="仿宋_GB2312" w:hAnsi="仿宋_GB2312" w:eastAsia="仿宋_GB2312" w:cs="仿宋_GB2312"/>
          <w:spacing w:val="-2"/>
          <w:sz w:val="32"/>
          <w:szCs w:val="32"/>
        </w:rPr>
        <w:t>并提供必要保障。风险评估应当作为重大行政决策的重要依据。认为风险可控的，可以作出决策；认为风险不可控的，在采取调整决策草案等措施确保风险可控后，可以作出决策。</w:t>
      </w:r>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right="0" w:rightChars="0" w:firstLine="631" w:firstLineChars="200"/>
        <w:jc w:val="both"/>
        <w:textAlignment w:val="auto"/>
        <w:outlineLvl w:val="9"/>
        <w:rPr>
          <w:rFonts w:hint="eastAsia" w:ascii="仿宋_GB2312" w:hAnsi="仿宋_GB2312" w:eastAsia="仿宋_GB2312" w:cs="仿宋_GB2312"/>
          <w:sz w:val="32"/>
          <w:szCs w:val="32"/>
        </w:rPr>
      </w:pPr>
      <w:bookmarkStart w:id="34" w:name="_Toc23956"/>
      <w:r>
        <w:rPr>
          <w:rFonts w:hint="eastAsia" w:ascii="仿宋_GB2312" w:hAnsi="仿宋_GB2312" w:eastAsia="仿宋_GB2312" w:cs="仿宋_GB2312"/>
          <w:b/>
          <w:bCs/>
          <w:spacing w:val="-3"/>
          <w:sz w:val="32"/>
          <w:szCs w:val="32"/>
          <w:lang w:val="en-US" w:eastAsia="zh-CN"/>
        </w:rPr>
        <w:t xml:space="preserve">4.3 </w:t>
      </w:r>
      <w:r>
        <w:rPr>
          <w:rFonts w:hint="eastAsia" w:ascii="仿宋_GB2312" w:hAnsi="仿宋_GB2312" w:eastAsia="仿宋_GB2312" w:cs="仿宋_GB2312"/>
          <w:b/>
          <w:bCs/>
          <w:spacing w:val="-3"/>
          <w:sz w:val="32"/>
          <w:szCs w:val="32"/>
        </w:rPr>
        <w:t>财政能力风险防范化解措施</w:t>
      </w:r>
      <w:bookmarkEnd w:id="34"/>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w w:val="100"/>
          <w:sz w:val="32"/>
          <w:szCs w:val="32"/>
        </w:rPr>
        <w:t>（一</w:t>
      </w:r>
      <w:r>
        <w:rPr>
          <w:rFonts w:hint="eastAsia" w:ascii="仿宋_GB2312" w:hAnsi="仿宋_GB2312" w:eastAsia="仿宋_GB2312" w:cs="仿宋_GB2312"/>
          <w:spacing w:val="-46"/>
          <w:w w:val="100"/>
          <w:sz w:val="32"/>
          <w:szCs w:val="32"/>
        </w:rPr>
        <w:t>）</w:t>
      </w:r>
      <w:r>
        <w:rPr>
          <w:rFonts w:hint="eastAsia" w:ascii="仿宋_GB2312" w:hAnsi="仿宋_GB2312" w:eastAsia="仿宋_GB2312" w:cs="仿宋_GB2312"/>
          <w:spacing w:val="-7"/>
          <w:w w:val="100"/>
          <w:sz w:val="32"/>
          <w:szCs w:val="32"/>
        </w:rPr>
        <w:t>加强优化农业金融支撑措施。</w:t>
      </w:r>
      <w:r>
        <w:rPr>
          <w:rFonts w:hint="eastAsia" w:ascii="仿宋_GB2312" w:hAnsi="仿宋_GB2312" w:eastAsia="仿宋_GB2312" w:cs="仿宋_GB2312"/>
          <w:color w:val="000007"/>
          <w:spacing w:val="-1"/>
          <w:sz w:val="32"/>
          <w:szCs w:val="32"/>
        </w:rPr>
        <w:t>建立花卉产业振兴财政资金投入稳步增长机制，扩大涉</w:t>
      </w:r>
      <w:r>
        <w:rPr>
          <w:rFonts w:hint="eastAsia" w:ascii="仿宋_GB2312" w:hAnsi="仿宋_GB2312" w:eastAsia="仿宋_GB2312" w:cs="仿宋_GB2312"/>
          <w:color w:val="000007"/>
          <w:spacing w:val="-3"/>
          <w:sz w:val="32"/>
          <w:szCs w:val="32"/>
        </w:rPr>
        <w:t>农资金统筹整合范围和规模，推动设</w:t>
      </w:r>
      <w:r>
        <w:rPr>
          <w:rFonts w:hint="eastAsia" w:ascii="仿宋_GB2312" w:hAnsi="仿宋_GB2312" w:eastAsia="仿宋_GB2312" w:cs="仿宋_GB2312"/>
          <w:color w:val="000007"/>
          <w:spacing w:val="-4"/>
          <w:sz w:val="32"/>
          <w:szCs w:val="32"/>
        </w:rPr>
        <w:t>立花卉产业发展专项基金，做好花卉产业重大项目库建设，各部门建立花卉产业发</w:t>
      </w:r>
      <w:bookmarkStart w:id="35" w:name="_bookmark55"/>
      <w:bookmarkEnd w:id="35"/>
      <w:r>
        <w:rPr>
          <w:rFonts w:hint="eastAsia" w:ascii="仿宋_GB2312" w:hAnsi="仿宋_GB2312" w:eastAsia="仿宋_GB2312" w:cs="仿宋_GB2312"/>
          <w:color w:val="000007"/>
          <w:spacing w:val="-3"/>
          <w:sz w:val="32"/>
          <w:szCs w:val="32"/>
        </w:rPr>
        <w:t>展专项资金，争取农发行等政策性银行贷款支持。试点开发</w:t>
      </w:r>
      <w:r>
        <w:rPr>
          <w:rFonts w:hint="eastAsia" w:ascii="仿宋_GB2312" w:hAnsi="仿宋_GB2312" w:eastAsia="仿宋_GB2312" w:cs="仿宋_GB2312"/>
          <w:color w:val="000007"/>
          <w:spacing w:val="-5"/>
          <w:sz w:val="32"/>
          <w:szCs w:val="32"/>
        </w:rPr>
        <w:t>设施花卉抵押贷款，适当放宽贷款期限，合理下浮利率。鼓励省、市政策性农业担保机构优势互补，做大设施花卉担保</w:t>
      </w:r>
      <w:r>
        <w:rPr>
          <w:rFonts w:hint="eastAsia" w:ascii="仿宋_GB2312" w:hAnsi="仿宋_GB2312" w:eastAsia="仿宋_GB2312" w:cs="仿宋_GB2312"/>
          <w:color w:val="000007"/>
          <w:spacing w:val="-6"/>
          <w:w w:val="95"/>
          <w:sz w:val="32"/>
          <w:szCs w:val="32"/>
        </w:rPr>
        <w:t xml:space="preserve">贷款规模，对涉及的新型农业经营主体，财政优先给予贷款 </w:t>
      </w:r>
      <w:r>
        <w:rPr>
          <w:rFonts w:hint="eastAsia" w:ascii="仿宋_GB2312" w:hAnsi="仿宋_GB2312" w:eastAsia="仿宋_GB2312" w:cs="仿宋_GB2312"/>
          <w:color w:val="000007"/>
          <w:spacing w:val="-6"/>
          <w:sz w:val="32"/>
          <w:szCs w:val="32"/>
        </w:rPr>
        <w:t>贴息支持。</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（二）加强优化农业保险支撑措施。建设县级保险服务中</w:t>
      </w:r>
      <w:r>
        <w:rPr>
          <w:rFonts w:hint="eastAsia" w:ascii="仿宋_GB2312" w:hAnsi="仿宋_GB2312" w:eastAsia="仿宋_GB2312" w:cs="仿宋_GB2312"/>
          <w:spacing w:val="-2"/>
          <w:sz w:val="32"/>
          <w:szCs w:val="32"/>
          <w:lang w:eastAsia="zh-CN"/>
        </w:rPr>
        <w:t>心</w:t>
      </w:r>
      <w:r>
        <w:rPr>
          <w:rFonts w:hint="eastAsia" w:ascii="仿宋_GB2312" w:hAnsi="仿宋_GB2312" w:eastAsia="仿宋_GB2312" w:cs="仿宋_GB2312"/>
          <w:spacing w:val="-2"/>
          <w:sz w:val="32"/>
          <w:szCs w:val="32"/>
        </w:rPr>
        <w:t>（或支公司</w:t>
      </w:r>
      <w:r>
        <w:rPr>
          <w:rFonts w:hint="eastAsia" w:ascii="仿宋_GB2312" w:hAnsi="仿宋_GB2312" w:eastAsia="仿宋_GB2312" w:cs="仿宋_GB2312"/>
          <w:spacing w:val="-77"/>
          <w:sz w:val="32"/>
          <w:szCs w:val="32"/>
        </w:rPr>
        <w:t>）</w:t>
      </w:r>
      <w:r>
        <w:rPr>
          <w:rFonts w:hint="eastAsia" w:ascii="仿宋_GB2312" w:hAnsi="仿宋_GB2312" w:eastAsia="仿宋_GB2312" w:cs="仿宋_GB2312"/>
          <w:spacing w:val="-16"/>
          <w:sz w:val="32"/>
          <w:szCs w:val="32"/>
        </w:rPr>
        <w:t>、镇街保险服务站、村居保险服务</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color w:val="000007"/>
          <w:spacing w:val="-2"/>
          <w:sz w:val="32"/>
          <w:szCs w:val="32"/>
        </w:rPr>
        <w:t>积极发展多形式、多渠道的花卉商业经济保险，扩大保</w:t>
      </w:r>
      <w:r>
        <w:rPr>
          <w:rFonts w:hint="eastAsia" w:ascii="仿宋_GB2312" w:hAnsi="仿宋_GB2312" w:eastAsia="仿宋_GB2312" w:cs="仿宋_GB2312"/>
          <w:color w:val="000007"/>
          <w:spacing w:val="-4"/>
          <w:sz w:val="32"/>
          <w:szCs w:val="32"/>
        </w:rPr>
        <w:t>险覆盖面，提高花卉经营主体的抗风险能力；完善花卉产品</w:t>
      </w:r>
      <w:r>
        <w:rPr>
          <w:rFonts w:hint="eastAsia" w:ascii="仿宋_GB2312" w:hAnsi="仿宋_GB2312" w:eastAsia="仿宋_GB2312" w:cs="仿宋_GB2312"/>
          <w:color w:val="000007"/>
          <w:spacing w:val="-15"/>
          <w:sz w:val="32"/>
          <w:szCs w:val="32"/>
        </w:rPr>
        <w:t>目标价格保险制度，推动花卉产业保险</w:t>
      </w:r>
      <w:r>
        <w:rPr>
          <w:rFonts w:hint="eastAsia" w:ascii="仿宋_GB2312" w:hAnsi="仿宋_GB2312" w:eastAsia="仿宋_GB2312" w:cs="仿宋_GB2312"/>
          <w:color w:val="000007"/>
          <w:spacing w:val="-15"/>
          <w:sz w:val="32"/>
          <w:szCs w:val="32"/>
          <w:lang w:eastAsia="zh-CN"/>
        </w:rPr>
        <w:t>“</w:t>
      </w:r>
      <w:r>
        <w:rPr>
          <w:rFonts w:hint="eastAsia" w:ascii="仿宋_GB2312" w:hAnsi="仿宋_GB2312" w:eastAsia="仿宋_GB2312" w:cs="仿宋_GB2312"/>
          <w:color w:val="000007"/>
          <w:spacing w:val="-15"/>
          <w:sz w:val="32"/>
          <w:szCs w:val="32"/>
        </w:rPr>
        <w:t>保价格、保收入</w:t>
      </w:r>
      <w:r>
        <w:rPr>
          <w:rFonts w:hint="eastAsia" w:ascii="仿宋_GB2312" w:hAnsi="仿宋_GB2312" w:eastAsia="仿宋_GB2312" w:cs="仿宋_GB2312"/>
          <w:color w:val="000007"/>
          <w:spacing w:val="-15"/>
          <w:sz w:val="32"/>
          <w:szCs w:val="32"/>
          <w:lang w:eastAsia="zh-CN"/>
        </w:rPr>
        <w:t>”</w:t>
      </w:r>
      <w:r>
        <w:rPr>
          <w:rFonts w:hint="eastAsia" w:ascii="仿宋_GB2312" w:hAnsi="仿宋_GB2312" w:eastAsia="仿宋_GB2312" w:cs="仿宋_GB2312"/>
          <w:color w:val="000007"/>
          <w:spacing w:val="-15"/>
          <w:sz w:val="32"/>
          <w:szCs w:val="32"/>
        </w:rPr>
        <w:t xml:space="preserve">， </w:t>
      </w:r>
      <w:r>
        <w:rPr>
          <w:rFonts w:hint="eastAsia" w:ascii="仿宋_GB2312" w:hAnsi="仿宋_GB2312" w:eastAsia="仿宋_GB2312" w:cs="仿宋_GB2312"/>
          <w:color w:val="000007"/>
          <w:sz w:val="32"/>
          <w:szCs w:val="32"/>
        </w:rPr>
        <w:t>提高花卉产业保障水平，推动花卉产业良性发展。</w:t>
      </w:r>
      <w:r>
        <w:rPr>
          <w:rFonts w:hint="eastAsia" w:ascii="仿宋_GB2312" w:hAnsi="仿宋_GB2312" w:eastAsia="仿宋_GB2312" w:cs="仿宋_GB2312"/>
          <w:spacing w:val="-4"/>
          <w:sz w:val="32"/>
          <w:szCs w:val="32"/>
        </w:rPr>
        <w:t>创新设立</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基本险+附加险</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产品，</w:t>
      </w:r>
      <w:r>
        <w:rPr>
          <w:rFonts w:hint="eastAsia" w:ascii="仿宋_GB2312" w:hAnsi="仿宋_GB2312" w:eastAsia="仿宋_GB2312" w:cs="仿宋_GB2312"/>
          <w:spacing w:val="-2"/>
          <w:sz w:val="32"/>
          <w:szCs w:val="32"/>
        </w:rPr>
        <w:t>鼓励建立</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以险养险</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补充机制。鼓励各地探索开展产量保险、气象指数保险、农产品价格和收入保险等保险责任广、保障水平高的农业保险品种，满足经营主体和服务主体多层次、多样化风险保障需求。</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w w:val="100"/>
          <w:sz w:val="32"/>
          <w:szCs w:val="32"/>
        </w:rPr>
        <w:t>（三）</w:t>
      </w:r>
      <w:r>
        <w:rPr>
          <w:rFonts w:hint="eastAsia" w:ascii="仿宋_GB2312" w:hAnsi="仿宋_GB2312" w:eastAsia="仿宋_GB2312" w:cs="仿宋_GB2312"/>
          <w:spacing w:val="-3"/>
          <w:w w:val="100"/>
          <w:sz w:val="32"/>
          <w:szCs w:val="32"/>
        </w:rPr>
        <w:t>强化优化财税扶持政策。围绕</w:t>
      </w:r>
      <w:r>
        <w:rPr>
          <w:rFonts w:hint="eastAsia" w:ascii="仿宋_GB2312" w:hAnsi="仿宋_GB2312" w:eastAsia="仿宋_GB2312" w:cs="仿宋_GB2312"/>
          <w:spacing w:val="-3"/>
          <w:w w:val="100"/>
          <w:sz w:val="32"/>
          <w:szCs w:val="32"/>
          <w:lang w:eastAsia="zh-CN"/>
        </w:rPr>
        <w:t>花卉产业</w:t>
      </w:r>
      <w:r>
        <w:rPr>
          <w:rFonts w:hint="eastAsia" w:ascii="仿宋_GB2312" w:hAnsi="仿宋_GB2312" w:eastAsia="仿宋_GB2312" w:cs="仿宋_GB2312"/>
          <w:spacing w:val="-3"/>
          <w:w w:val="100"/>
          <w:sz w:val="32"/>
          <w:szCs w:val="32"/>
        </w:rPr>
        <w:t>发展的需要，</w:t>
      </w:r>
      <w:r>
        <w:rPr>
          <w:rFonts w:hint="eastAsia" w:ascii="仿宋_GB2312" w:hAnsi="仿宋_GB2312" w:eastAsia="仿宋_GB2312" w:cs="仿宋_GB2312"/>
          <w:spacing w:val="-10"/>
          <w:w w:val="100"/>
          <w:sz w:val="32"/>
          <w:szCs w:val="32"/>
        </w:rPr>
        <w:t>加强相关政策创设，进一步优化和完善县级农业支持政策。加强财政</w:t>
      </w:r>
      <w:r>
        <w:rPr>
          <w:rFonts w:hint="eastAsia" w:ascii="仿宋_GB2312" w:hAnsi="仿宋_GB2312" w:eastAsia="仿宋_GB2312" w:cs="仿宋_GB2312"/>
          <w:spacing w:val="-13"/>
          <w:w w:val="100"/>
          <w:sz w:val="32"/>
          <w:szCs w:val="32"/>
        </w:rPr>
        <w:t>支农政策顶层设计，强化涉农资金统筹整合及使用绩效监督，各类涉农基金向乡村产业倾斜。发挥财政资金的引导和杠杆作用，创新投入</w:t>
      </w:r>
      <w:r>
        <w:rPr>
          <w:rFonts w:hint="eastAsia" w:ascii="仿宋_GB2312" w:hAnsi="仿宋_GB2312" w:eastAsia="仿宋_GB2312" w:cs="仿宋_GB2312"/>
          <w:spacing w:val="-11"/>
          <w:w w:val="100"/>
          <w:sz w:val="32"/>
          <w:szCs w:val="32"/>
        </w:rPr>
        <w:t>方式，统筹安排新增和存量支农投入用于支持现代高效农业发展，</w:t>
      </w:r>
      <w:r>
        <w:rPr>
          <w:rFonts w:hint="eastAsia" w:ascii="仿宋_GB2312" w:hAnsi="仿宋_GB2312" w:eastAsia="仿宋_GB2312" w:cs="仿宋_GB2312"/>
          <w:spacing w:val="-11"/>
          <w:w w:val="100"/>
          <w:sz w:val="32"/>
          <w:szCs w:val="32"/>
          <w:lang w:eastAsia="zh-CN"/>
        </w:rPr>
        <w:t>提高</w:t>
      </w:r>
      <w:r>
        <w:rPr>
          <w:rFonts w:hint="eastAsia" w:ascii="仿宋_GB2312" w:hAnsi="仿宋_GB2312" w:eastAsia="仿宋_GB2312" w:cs="仿宋_GB2312"/>
          <w:spacing w:val="-20"/>
          <w:w w:val="100"/>
          <w:sz w:val="32"/>
          <w:szCs w:val="32"/>
        </w:rPr>
        <w:t>财政支农的效力和效率。综合采用直接补贴、以奖代补、定向委托、</w:t>
      </w:r>
      <w:r>
        <w:rPr>
          <w:rFonts w:hint="eastAsia" w:ascii="仿宋_GB2312" w:hAnsi="仿宋_GB2312" w:eastAsia="仿宋_GB2312" w:cs="仿宋_GB2312"/>
          <w:spacing w:val="3"/>
          <w:w w:val="100"/>
          <w:sz w:val="32"/>
          <w:szCs w:val="32"/>
        </w:rPr>
        <w:t>政府购买服务等方式，以市场机制为目标创新完善农业支持保护政</w:t>
      </w:r>
      <w:r>
        <w:rPr>
          <w:rFonts w:hint="eastAsia" w:ascii="仿宋_GB2312" w:hAnsi="仿宋_GB2312" w:eastAsia="仿宋_GB2312" w:cs="仿宋_GB2312"/>
          <w:spacing w:val="-10"/>
          <w:w w:val="100"/>
          <w:sz w:val="32"/>
          <w:szCs w:val="32"/>
        </w:rPr>
        <w:t>策，撬动金融和社会资本投向农业农村。鼓励有条件的新型农业经营</w:t>
      </w:r>
      <w:r>
        <w:rPr>
          <w:rFonts w:hint="eastAsia" w:ascii="仿宋_GB2312" w:hAnsi="仿宋_GB2312" w:eastAsia="仿宋_GB2312" w:cs="仿宋_GB2312"/>
          <w:spacing w:val="-12"/>
          <w:w w:val="100"/>
          <w:sz w:val="32"/>
          <w:szCs w:val="32"/>
        </w:rPr>
        <w:t>主体和服务主体参与实施高标准</w:t>
      </w:r>
      <w:r>
        <w:rPr>
          <w:rFonts w:hint="eastAsia" w:ascii="仿宋_GB2312" w:hAnsi="仿宋_GB2312" w:eastAsia="仿宋_GB2312" w:cs="仿宋_GB2312"/>
          <w:spacing w:val="-12"/>
          <w:w w:val="100"/>
          <w:sz w:val="32"/>
          <w:szCs w:val="32"/>
          <w:lang w:eastAsia="zh-CN"/>
        </w:rPr>
        <w:t>花卉设施</w:t>
      </w:r>
      <w:r>
        <w:rPr>
          <w:rFonts w:hint="eastAsia" w:ascii="仿宋_GB2312" w:hAnsi="仿宋_GB2312" w:eastAsia="仿宋_GB2312" w:cs="仿宋_GB2312"/>
          <w:spacing w:val="-12"/>
          <w:w w:val="100"/>
          <w:sz w:val="32"/>
          <w:szCs w:val="32"/>
        </w:rPr>
        <w:t>建设、农技推广、现代农业产业</w:t>
      </w:r>
      <w:r>
        <w:rPr>
          <w:rFonts w:hint="eastAsia" w:ascii="仿宋_GB2312" w:hAnsi="仿宋_GB2312" w:eastAsia="仿宋_GB2312" w:cs="仿宋_GB2312"/>
          <w:spacing w:val="-13"/>
          <w:w w:val="100"/>
          <w:sz w:val="32"/>
          <w:szCs w:val="32"/>
        </w:rPr>
        <w:t>园等涉农项目。农机购置补贴等政策加大对新型经营主体和服务主体的支持力度。落实农业产业、三产融合发展以及新型农业经营主体各</w:t>
      </w:r>
      <w:r>
        <w:rPr>
          <w:rFonts w:hint="eastAsia" w:ascii="仿宋_GB2312" w:hAnsi="仿宋_GB2312" w:eastAsia="仿宋_GB2312" w:cs="仿宋_GB2312"/>
          <w:spacing w:val="-8"/>
          <w:w w:val="100"/>
          <w:sz w:val="32"/>
          <w:szCs w:val="32"/>
        </w:rPr>
        <w:t>类税费优惠政策，激活现代都市农业发展减负减压增活力。</w:t>
      </w:r>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right="0" w:rightChars="0" w:firstLine="631" w:firstLineChars="200"/>
        <w:jc w:val="both"/>
        <w:textAlignment w:val="auto"/>
        <w:outlineLvl w:val="9"/>
        <w:rPr>
          <w:rFonts w:hint="eastAsia" w:ascii="仿宋_GB2312" w:hAnsi="仿宋_GB2312" w:eastAsia="仿宋_GB2312" w:cs="仿宋_GB2312"/>
          <w:sz w:val="32"/>
          <w:szCs w:val="32"/>
        </w:rPr>
      </w:pPr>
      <w:bookmarkStart w:id="36" w:name="_Toc1928"/>
      <w:r>
        <w:rPr>
          <w:rFonts w:hint="eastAsia" w:ascii="仿宋_GB2312" w:hAnsi="仿宋_GB2312" w:eastAsia="仿宋_GB2312" w:cs="仿宋_GB2312"/>
          <w:b/>
          <w:bCs/>
          <w:spacing w:val="-3"/>
          <w:sz w:val="32"/>
          <w:szCs w:val="32"/>
          <w:lang w:val="en-US" w:eastAsia="zh-CN"/>
        </w:rPr>
        <w:t xml:space="preserve">4.4 </w:t>
      </w:r>
      <w:r>
        <w:rPr>
          <w:rFonts w:hint="eastAsia" w:ascii="仿宋_GB2312" w:hAnsi="仿宋_GB2312" w:eastAsia="仿宋_GB2312" w:cs="仿宋_GB2312"/>
          <w:b/>
          <w:bCs/>
          <w:spacing w:val="-3"/>
          <w:sz w:val="32"/>
          <w:szCs w:val="32"/>
        </w:rPr>
        <w:t>公众参与和舆论风险防范化解措施</w:t>
      </w:r>
      <w:bookmarkEnd w:id="36"/>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1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结合现代农业发展实际出台一系列强农惠农政策措施，不断加大</w:t>
      </w:r>
      <w:r>
        <w:rPr>
          <w:rFonts w:hint="eastAsia" w:ascii="仿宋_GB2312" w:hAnsi="仿宋_GB2312" w:eastAsia="仿宋_GB2312" w:cs="仿宋_GB2312"/>
          <w:spacing w:val="-4"/>
          <w:sz w:val="32"/>
          <w:szCs w:val="32"/>
        </w:rPr>
        <w:t>惠农补贴力度、扩大补贴范围、提高补贴标准。提炼总结在推进</w:t>
      </w:r>
      <w:r>
        <w:rPr>
          <w:rFonts w:hint="eastAsia" w:ascii="仿宋_GB2312" w:hAnsi="仿宋_GB2312" w:eastAsia="仿宋_GB2312" w:cs="仿宋_GB2312"/>
          <w:spacing w:val="-4"/>
          <w:sz w:val="32"/>
          <w:szCs w:val="32"/>
          <w:lang w:eastAsia="zh-CN"/>
        </w:rPr>
        <w:t>花卉产业</w:t>
      </w:r>
      <w:r>
        <w:rPr>
          <w:rFonts w:hint="eastAsia" w:ascii="仿宋_GB2312" w:hAnsi="仿宋_GB2312" w:eastAsia="仿宋_GB2312" w:cs="仿宋_GB2312"/>
          <w:spacing w:val="-4"/>
          <w:sz w:val="32"/>
          <w:szCs w:val="32"/>
        </w:rPr>
        <w:t>高质量发展过程中的经验做法，优化商</w:t>
      </w:r>
      <w:r>
        <w:rPr>
          <w:rFonts w:hint="eastAsia" w:ascii="仿宋_GB2312" w:hAnsi="仿宋_GB2312" w:eastAsia="仿宋_GB2312" w:cs="仿宋_GB2312"/>
          <w:spacing w:val="-2"/>
          <w:sz w:val="32"/>
          <w:szCs w:val="32"/>
        </w:rPr>
        <w:t>河强农惠农政策措施，并</w:t>
      </w:r>
      <w:r>
        <w:rPr>
          <w:rFonts w:hint="eastAsia" w:ascii="仿宋_GB2312" w:hAnsi="仿宋_GB2312" w:eastAsia="仿宋_GB2312" w:cs="仿宋_GB2312"/>
          <w:spacing w:val="-2"/>
          <w:sz w:val="32"/>
          <w:szCs w:val="32"/>
          <w:lang w:eastAsia="zh-CN"/>
        </w:rPr>
        <w:t>加大</w:t>
      </w:r>
      <w:r>
        <w:rPr>
          <w:rFonts w:hint="eastAsia" w:ascii="仿宋_GB2312" w:hAnsi="仿宋_GB2312" w:eastAsia="仿宋_GB2312" w:cs="仿宋_GB2312"/>
          <w:spacing w:val="-2"/>
          <w:sz w:val="32"/>
          <w:szCs w:val="32"/>
        </w:rPr>
        <w:t>宣传力度，确保政策措施有效落实。</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一是做实政策措施宣传工作。各项强农惠农政策能否落实到位，</w:t>
      </w:r>
      <w:r>
        <w:rPr>
          <w:rFonts w:hint="eastAsia" w:ascii="仿宋_GB2312" w:hAnsi="仿宋_GB2312" w:eastAsia="仿宋_GB2312" w:cs="仿宋_GB2312"/>
          <w:spacing w:val="-18"/>
          <w:sz w:val="32"/>
          <w:szCs w:val="32"/>
        </w:rPr>
        <w:t>确保政策不走样、不缩水，让农民知晓是最关键和最基础的环节之一。</w:t>
      </w:r>
      <w:r>
        <w:rPr>
          <w:rFonts w:hint="eastAsia" w:ascii="仿宋_GB2312" w:hAnsi="仿宋_GB2312" w:eastAsia="仿宋_GB2312" w:cs="仿宋_GB2312"/>
          <w:spacing w:val="-7"/>
          <w:sz w:val="32"/>
          <w:szCs w:val="32"/>
        </w:rPr>
        <w:t>充分认识强农惠农政策宣传工作的重要性，把宣传各项强农惠农政策作为确保各项政策有效落实的重要手段，是推进现代农业高质量发展</w:t>
      </w:r>
      <w:r>
        <w:rPr>
          <w:rFonts w:hint="eastAsia" w:ascii="仿宋_GB2312" w:hAnsi="仿宋_GB2312" w:eastAsia="仿宋_GB2312" w:cs="仿宋_GB2312"/>
          <w:spacing w:val="-2"/>
          <w:sz w:val="32"/>
          <w:szCs w:val="32"/>
        </w:rPr>
        <w:t>的关键。坚持</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三公开</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原则，即坚持向</w:t>
      </w:r>
      <w:r>
        <w:rPr>
          <w:rFonts w:hint="eastAsia" w:ascii="仿宋_GB2312" w:hAnsi="仿宋_GB2312" w:eastAsia="仿宋_GB2312" w:cs="仿宋_GB2312"/>
          <w:spacing w:val="-2"/>
          <w:sz w:val="32"/>
          <w:szCs w:val="32"/>
          <w:lang w:eastAsia="zh-CN"/>
        </w:rPr>
        <w:t>公众</w:t>
      </w:r>
      <w:r>
        <w:rPr>
          <w:rFonts w:hint="eastAsia" w:ascii="仿宋_GB2312" w:hAnsi="仿宋_GB2312" w:eastAsia="仿宋_GB2312" w:cs="仿宋_GB2312"/>
          <w:spacing w:val="-2"/>
          <w:sz w:val="32"/>
          <w:szCs w:val="32"/>
        </w:rPr>
        <w:t>公开，让广大群众知晓政策措施；坚持实施过程公开，对项目区内享受补贴政策的</w:t>
      </w:r>
      <w:r>
        <w:rPr>
          <w:rFonts w:hint="eastAsia" w:ascii="仿宋_GB2312" w:hAnsi="仿宋_GB2312" w:eastAsia="仿宋_GB2312" w:cs="仿宋_GB2312"/>
          <w:spacing w:val="-2"/>
          <w:sz w:val="32"/>
          <w:szCs w:val="32"/>
          <w:lang w:eastAsia="zh-CN"/>
        </w:rPr>
        <w:t>企业及农民</w:t>
      </w:r>
      <w:r>
        <w:rPr>
          <w:rFonts w:hint="eastAsia" w:ascii="仿宋_GB2312" w:hAnsi="仿宋_GB2312" w:eastAsia="仿宋_GB2312" w:cs="仿宋_GB2312"/>
          <w:spacing w:val="-2"/>
          <w:sz w:val="32"/>
          <w:szCs w:val="32"/>
        </w:rPr>
        <w:t>登</w:t>
      </w:r>
      <w:r>
        <w:rPr>
          <w:rFonts w:hint="eastAsia" w:ascii="仿宋_GB2312" w:hAnsi="仿宋_GB2312" w:eastAsia="仿宋_GB2312" w:cs="仿宋_GB2312"/>
          <w:spacing w:val="-18"/>
          <w:sz w:val="32"/>
          <w:szCs w:val="32"/>
        </w:rPr>
        <w:t>记造册；坚持向社会公开，自觉接受社会监督，保证真正让</w:t>
      </w:r>
      <w:r>
        <w:rPr>
          <w:rFonts w:hint="eastAsia" w:ascii="仿宋_GB2312" w:hAnsi="仿宋_GB2312" w:eastAsia="仿宋_GB2312" w:cs="仿宋_GB2312"/>
          <w:spacing w:val="-18"/>
          <w:sz w:val="32"/>
          <w:szCs w:val="32"/>
          <w:lang w:eastAsia="zh-CN"/>
        </w:rPr>
        <w:t>生产主体</w:t>
      </w:r>
      <w:r>
        <w:rPr>
          <w:rFonts w:hint="eastAsia" w:ascii="仿宋_GB2312" w:hAnsi="仿宋_GB2312" w:eastAsia="仿宋_GB2312" w:cs="仿宋_GB2312"/>
          <w:spacing w:val="-18"/>
          <w:sz w:val="32"/>
          <w:szCs w:val="32"/>
        </w:rPr>
        <w:t>受益。</w:t>
      </w:r>
      <w:r>
        <w:rPr>
          <w:rFonts w:hint="eastAsia" w:ascii="仿宋_GB2312" w:hAnsi="仿宋_GB2312" w:eastAsia="仿宋_GB2312" w:cs="仿宋_GB2312"/>
          <w:spacing w:val="-2"/>
          <w:sz w:val="32"/>
          <w:szCs w:val="32"/>
        </w:rPr>
        <w:t>充分发挥政策的引导和激励作用，进一步调动广大</w:t>
      </w:r>
      <w:r>
        <w:rPr>
          <w:rFonts w:hint="eastAsia" w:ascii="仿宋_GB2312" w:hAnsi="仿宋_GB2312" w:eastAsia="仿宋_GB2312" w:cs="仿宋_GB2312"/>
          <w:spacing w:val="-18"/>
          <w:sz w:val="32"/>
          <w:szCs w:val="32"/>
          <w:lang w:eastAsia="zh-CN"/>
        </w:rPr>
        <w:t>生产主体</w:t>
      </w:r>
      <w:r>
        <w:rPr>
          <w:rFonts w:hint="eastAsia" w:ascii="仿宋_GB2312" w:hAnsi="仿宋_GB2312" w:eastAsia="仿宋_GB2312" w:cs="仿宋_GB2312"/>
          <w:spacing w:val="-2"/>
          <w:sz w:val="32"/>
          <w:szCs w:val="32"/>
        </w:rPr>
        <w:t>的生产积极</w:t>
      </w:r>
      <w:r>
        <w:rPr>
          <w:rFonts w:hint="eastAsia" w:ascii="仿宋_GB2312" w:hAnsi="仿宋_GB2312" w:eastAsia="仿宋_GB2312" w:cs="仿宋_GB2312"/>
          <w:spacing w:val="-3"/>
          <w:sz w:val="32"/>
          <w:szCs w:val="32"/>
        </w:rPr>
        <w:t>性，努力实现农业稳定发展、农民持续增收。</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jc w:val="both"/>
        <w:textAlignment w:val="auto"/>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2"/>
          <w:sz w:val="32"/>
          <w:szCs w:val="32"/>
        </w:rPr>
        <w:t>二是创新政策措施宣传机制。充分利用各类媒体，如广播电视、报刊、网络、手机短信等加大宣传力度，通过浅显易懂，</w:t>
      </w:r>
      <w:r>
        <w:rPr>
          <w:rFonts w:hint="eastAsia" w:ascii="仿宋_GB2312" w:hAnsi="仿宋_GB2312" w:eastAsia="仿宋_GB2312" w:cs="仿宋_GB2312"/>
          <w:spacing w:val="-2"/>
          <w:sz w:val="32"/>
          <w:szCs w:val="32"/>
          <w:lang w:eastAsia="zh-CN"/>
        </w:rPr>
        <w:t>生产主体</w:t>
      </w:r>
      <w:r>
        <w:rPr>
          <w:rFonts w:hint="eastAsia" w:ascii="仿宋_GB2312" w:hAnsi="仿宋_GB2312" w:eastAsia="仿宋_GB2312" w:cs="仿宋_GB2312"/>
          <w:spacing w:val="-2"/>
          <w:sz w:val="32"/>
          <w:szCs w:val="32"/>
        </w:rPr>
        <w:t>更容易理解的形式，如墙报、黑板报、漫画、年画、明白纸、小手册等，让</w:t>
      </w:r>
      <w:r>
        <w:rPr>
          <w:rFonts w:hint="eastAsia" w:ascii="仿宋_GB2312" w:hAnsi="仿宋_GB2312" w:eastAsia="仿宋_GB2312" w:cs="仿宋_GB2312"/>
          <w:spacing w:val="-18"/>
          <w:sz w:val="32"/>
          <w:szCs w:val="32"/>
          <w:lang w:eastAsia="zh-CN"/>
        </w:rPr>
        <w:t>生产主体</w:t>
      </w:r>
      <w:r>
        <w:rPr>
          <w:rFonts w:hint="eastAsia" w:ascii="仿宋_GB2312" w:hAnsi="仿宋_GB2312" w:eastAsia="仿宋_GB2312" w:cs="仿宋_GB2312"/>
          <w:spacing w:val="-18"/>
          <w:sz w:val="32"/>
          <w:szCs w:val="32"/>
        </w:rPr>
        <w:t>看得懂、记得住、真明白。加大宣传强度和密度，确保不留死角。</w:t>
      </w:r>
      <w:r>
        <w:rPr>
          <w:rFonts w:hint="eastAsia" w:ascii="仿宋_GB2312" w:hAnsi="仿宋_GB2312" w:eastAsia="仿宋_GB2312" w:cs="仿宋_GB2312"/>
          <w:spacing w:val="-2"/>
          <w:sz w:val="32"/>
          <w:szCs w:val="32"/>
        </w:rPr>
        <w:t>切实提高宣传工作质量，不仅要保证</w:t>
      </w:r>
      <w:r>
        <w:rPr>
          <w:rFonts w:hint="eastAsia" w:ascii="仿宋_GB2312" w:hAnsi="仿宋_GB2312" w:eastAsia="仿宋_GB2312" w:cs="仿宋_GB2312"/>
          <w:spacing w:val="-2"/>
          <w:sz w:val="32"/>
          <w:szCs w:val="32"/>
          <w:lang w:eastAsia="zh-CN"/>
        </w:rPr>
        <w:t>生产主体</w:t>
      </w:r>
      <w:r>
        <w:rPr>
          <w:rFonts w:hint="eastAsia" w:ascii="仿宋_GB2312" w:hAnsi="仿宋_GB2312" w:eastAsia="仿宋_GB2312" w:cs="仿宋_GB2312"/>
          <w:spacing w:val="-2"/>
          <w:sz w:val="32"/>
          <w:szCs w:val="32"/>
        </w:rPr>
        <w:t>知道政策，同时了解各项政策措施目的、内容、对象、标准。当前宣传的重点是各项补贴政策措施的政策目的、具体内容和实施标准，确保各项政策措施的导向作用能够充分发挥。加强农业农村部门与宣传、财政、金融等部门之间的</w:t>
      </w:r>
      <w:r>
        <w:rPr>
          <w:rFonts w:hint="eastAsia" w:ascii="仿宋_GB2312" w:hAnsi="仿宋_GB2312" w:eastAsia="仿宋_GB2312" w:cs="仿宋_GB2312"/>
          <w:spacing w:val="-19"/>
          <w:sz w:val="32"/>
          <w:szCs w:val="32"/>
        </w:rPr>
        <w:t>配合与协作，发挥合力，把政策信息明确无误地传递给每个农民群众。</w:t>
      </w:r>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right="0" w:rightChars="0" w:firstLine="631" w:firstLineChars="200"/>
        <w:jc w:val="both"/>
        <w:textAlignment w:val="auto"/>
        <w:outlineLvl w:val="9"/>
        <w:rPr>
          <w:rFonts w:hint="eastAsia" w:ascii="仿宋_GB2312" w:hAnsi="仿宋_GB2312" w:eastAsia="仿宋_GB2312" w:cs="仿宋_GB2312"/>
          <w:spacing w:val="-3"/>
          <w:sz w:val="32"/>
          <w:szCs w:val="32"/>
          <w:lang w:val="en-US" w:eastAsia="zh-CN"/>
        </w:rPr>
      </w:pPr>
      <w:bookmarkStart w:id="37" w:name="_Toc20821"/>
      <w:r>
        <w:rPr>
          <w:rFonts w:hint="eastAsia" w:ascii="仿宋_GB2312" w:hAnsi="仿宋_GB2312" w:eastAsia="仿宋_GB2312" w:cs="仿宋_GB2312"/>
          <w:b/>
          <w:bCs/>
          <w:spacing w:val="-3"/>
          <w:sz w:val="32"/>
          <w:szCs w:val="32"/>
          <w:lang w:val="en-US" w:eastAsia="zh-CN"/>
        </w:rPr>
        <w:t>4.5 生态环境影响风险防范化解措施</w:t>
      </w:r>
      <w:bookmarkEnd w:id="37"/>
    </w:p>
    <w:p>
      <w:pPr>
        <w:pStyle w:val="13"/>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600" w:lineRule="exact"/>
        <w:ind w:right="0" w:rightChars="0" w:firstLine="632" w:firstLineChars="200"/>
        <w:jc w:val="both"/>
        <w:textAlignment w:val="auto"/>
        <w:outlineLvl w:val="9"/>
        <w:rPr>
          <w:rFonts w:hint="eastAsia" w:ascii="仿宋_GB2312" w:hAnsi="仿宋_GB2312" w:eastAsia="仿宋_GB2312" w:cs="仿宋_GB2312"/>
          <w:sz w:val="32"/>
          <w:szCs w:val="32"/>
        </w:rPr>
      </w:pPr>
      <w:bookmarkStart w:id="38" w:name="_Toc8287"/>
      <w:r>
        <w:rPr>
          <w:rFonts w:hint="eastAsia" w:ascii="仿宋_GB2312" w:hAnsi="仿宋_GB2312" w:eastAsia="仿宋_GB2312" w:cs="仿宋_GB2312"/>
          <w:spacing w:val="-2"/>
          <w:sz w:val="32"/>
          <w:szCs w:val="32"/>
        </w:rPr>
        <w:t>规划项目建设期间应采取</w:t>
      </w:r>
      <w:r>
        <w:rPr>
          <w:rFonts w:hint="eastAsia" w:ascii="仿宋_GB2312" w:hAnsi="仿宋_GB2312" w:eastAsia="仿宋_GB2312" w:cs="仿宋_GB2312"/>
          <w:spacing w:val="-3"/>
          <w:sz w:val="32"/>
          <w:szCs w:val="32"/>
          <w:lang w:val="en-US" w:eastAsia="zh-CN"/>
        </w:rPr>
        <w:t>适宜</w:t>
      </w:r>
      <w:r>
        <w:rPr>
          <w:rFonts w:hint="eastAsia" w:ascii="仿宋_GB2312" w:hAnsi="仿宋_GB2312" w:eastAsia="仿宋_GB2312" w:cs="仿宋_GB2312"/>
          <w:spacing w:val="-2"/>
          <w:sz w:val="32"/>
          <w:szCs w:val="32"/>
        </w:rPr>
        <w:t>措施防治水土流失、生态破坏，减少对生物及其栖息环境的影响，维护生态平衡。主要措施有以下几个方面：第一，严格控制施工占地，拌和站、预制梁场及施工驻地等临建设施优先利用地方建设用地、道路用地，减少新增临时占地数量；第二，取、弃土场等临时用地及时进行植被恢复，高填深挖路段应及时做好水土保持、植被恢复和地质灾害防治工作；第三，加强施工过程中的植被与表土资源保护和利用，落实环境保护、水土保持要求，做好临时用地的生态恢复；第四，加强对施工人员的环保教育工作，禁止施工人员随意破坏植被和捕杀</w:t>
      </w:r>
      <w:r>
        <w:rPr>
          <w:rFonts w:hint="eastAsia" w:ascii="仿宋_GB2312" w:hAnsi="仿宋_GB2312" w:eastAsia="仿宋_GB2312" w:cs="仿宋_GB2312"/>
          <w:spacing w:val="-2"/>
          <w:sz w:val="32"/>
          <w:szCs w:val="32"/>
          <w:lang w:eastAsia="zh-CN"/>
        </w:rPr>
        <w:t>野生动物</w:t>
      </w:r>
      <w:r>
        <w:rPr>
          <w:rFonts w:hint="eastAsia" w:ascii="仿宋_GB2312" w:hAnsi="仿宋_GB2312" w:eastAsia="仿宋_GB2312" w:cs="仿宋_GB2312"/>
          <w:spacing w:val="-2"/>
          <w:sz w:val="32"/>
          <w:szCs w:val="32"/>
        </w:rPr>
        <w:t>。</w:t>
      </w:r>
      <w:bookmarkEnd w:id="38"/>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12" w:firstLineChars="200"/>
        <w:jc w:val="both"/>
        <w:textAlignment w:val="auto"/>
        <w:outlineLvl w:val="9"/>
        <w:rPr>
          <w:rFonts w:ascii="Times New Roman" w:hAnsi="Times New Roman" w:eastAsia="宋体"/>
        </w:rPr>
      </w:pPr>
      <w:r>
        <w:rPr>
          <w:rFonts w:hint="eastAsia" w:ascii="仿宋_GB2312" w:hAnsi="仿宋_GB2312" w:eastAsia="仿宋_GB2312" w:cs="仿宋_GB2312"/>
          <w:spacing w:val="-7"/>
          <w:sz w:val="32"/>
          <w:szCs w:val="32"/>
        </w:rPr>
        <w:t>规划项目建设过程中要做好环境保护管理工作，加强对施工人员</w:t>
      </w:r>
      <w:r>
        <w:rPr>
          <w:rFonts w:hint="eastAsia" w:ascii="仿宋_GB2312" w:hAnsi="仿宋_GB2312" w:eastAsia="仿宋_GB2312" w:cs="仿宋_GB2312"/>
          <w:spacing w:val="-4"/>
          <w:sz w:val="32"/>
          <w:szCs w:val="32"/>
        </w:rPr>
        <w:t>的环境保护教育，</w:t>
      </w:r>
      <w:r>
        <w:rPr>
          <w:rFonts w:hint="eastAsia" w:ascii="仿宋_GB2312" w:hAnsi="仿宋_GB2312" w:eastAsia="仿宋_GB2312" w:cs="仿宋_GB2312"/>
          <w:spacing w:val="-4"/>
          <w:sz w:val="32"/>
          <w:szCs w:val="32"/>
          <w:lang w:eastAsia="zh-CN"/>
        </w:rPr>
        <w:t>增强</w:t>
      </w:r>
      <w:r>
        <w:rPr>
          <w:rFonts w:hint="eastAsia" w:ascii="仿宋_GB2312" w:hAnsi="仿宋_GB2312" w:eastAsia="仿宋_GB2312" w:cs="仿宋_GB2312"/>
          <w:spacing w:val="-4"/>
          <w:sz w:val="32"/>
          <w:szCs w:val="32"/>
        </w:rPr>
        <w:t>施工人员的环保意识，做好安全施工、文明施工。在道路施工期的环境保护工作中，落实环境保护监测具有重要意义，通过开展环境监测工作，对施工现场进行全方位的施工监管，将</w:t>
      </w:r>
      <w:r>
        <w:rPr>
          <w:rFonts w:hint="eastAsia" w:ascii="仿宋_GB2312" w:hAnsi="仿宋_GB2312" w:eastAsia="仿宋_GB2312" w:cs="仿宋_GB2312"/>
          <w:spacing w:val="-7"/>
          <w:sz w:val="32"/>
          <w:szCs w:val="32"/>
        </w:rPr>
        <w:t>环境保护理念融入道路施工的全过程中。同时，通过监测还能够及时</w:t>
      </w:r>
      <w:r>
        <w:rPr>
          <w:rFonts w:hint="eastAsia" w:ascii="仿宋_GB2312" w:hAnsi="仿宋_GB2312" w:eastAsia="仿宋_GB2312" w:cs="仿宋_GB2312"/>
          <w:spacing w:val="-4"/>
          <w:sz w:val="32"/>
          <w:szCs w:val="32"/>
        </w:rPr>
        <w:t>发现施工中环境污染的情况，以便及时治理，避免对周边环境产生更</w:t>
      </w:r>
      <w:r>
        <w:rPr>
          <w:rFonts w:hint="eastAsia" w:ascii="仿宋_GB2312" w:hAnsi="仿宋_GB2312" w:eastAsia="仿宋_GB2312" w:cs="仿宋_GB2312"/>
          <w:spacing w:val="-2"/>
          <w:sz w:val="32"/>
          <w:szCs w:val="32"/>
        </w:rPr>
        <w:t>大的影响。</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0" w:firstLineChars="0"/>
        <w:jc w:val="both"/>
        <w:textAlignment w:val="auto"/>
        <w:rPr>
          <w:rFonts w:ascii="Times New Roman" w:hAnsi="Times New Roman" w:eastAsia="宋体"/>
          <w:spacing w:val="-19"/>
        </w:rPr>
        <w:sectPr>
          <w:type w:val="continuous"/>
          <w:pgSz w:w="11910" w:h="16840"/>
          <w:pgMar w:top="1440" w:right="1800" w:bottom="1440" w:left="1800" w:header="0" w:footer="975"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ind w:right="0" w:firstLine="888" w:firstLineChars="200"/>
        <w:jc w:val="center"/>
        <w:textAlignment w:val="auto"/>
        <w:outlineLvl w:val="9"/>
        <w:rPr>
          <w:rFonts w:ascii="Times New Roman" w:hAnsi="Times New Roman" w:eastAsia="宋体"/>
        </w:rPr>
      </w:pPr>
      <w:r>
        <w:rPr>
          <w:rFonts w:hint="eastAsia" w:ascii="方正小标宋简体" w:hAnsi="方正小标宋简体" w:eastAsia="方正小标宋简体" w:cs="方正小标宋简体"/>
          <w:b w:val="0"/>
          <w:bCs w:val="0"/>
          <w:spacing w:val="2"/>
          <w:sz w:val="44"/>
          <w:szCs w:val="44"/>
        </w:rPr>
        <w:t>总  论</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0" w:right="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十四五</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时期是商河在新起点上深入落实</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黄河战略</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的关键时期，是加快建设</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生态商河</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的关键时期，是推进农业高质量发展与科技创新、推动农业绿色发展与产业融合、促进乡村振兴战略加快</w:t>
      </w:r>
      <w:r>
        <w:rPr>
          <w:rFonts w:hint="eastAsia" w:ascii="仿宋_GB2312" w:hAnsi="仿宋_GB2312" w:eastAsia="仿宋_GB2312" w:cs="仿宋_GB2312"/>
          <w:spacing w:val="-5"/>
          <w:sz w:val="32"/>
          <w:szCs w:val="32"/>
        </w:rPr>
        <w:t>实施的重要阶段。为把握住这一难得的历史机遇，《</w:t>
      </w:r>
      <w:r>
        <w:rPr>
          <w:rFonts w:hint="eastAsia" w:ascii="仿宋_GB2312" w:hAnsi="仿宋_GB2312" w:eastAsia="仿宋_GB2312" w:cs="仿宋_GB2312"/>
          <w:spacing w:val="-5"/>
          <w:sz w:val="32"/>
          <w:szCs w:val="32"/>
          <w:lang w:eastAsia="zh-CN"/>
        </w:rPr>
        <w:t>商河县花卉产业“十四五”发展规划</w:t>
      </w:r>
      <w:r>
        <w:rPr>
          <w:rFonts w:hint="eastAsia" w:ascii="仿宋_GB2312" w:hAnsi="仿宋_GB2312" w:eastAsia="仿宋_GB2312" w:cs="仿宋_GB2312"/>
          <w:sz w:val="32"/>
          <w:szCs w:val="32"/>
        </w:rPr>
        <w:t>（2021-2025）</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4"/>
          <w:sz w:val="32"/>
          <w:szCs w:val="32"/>
        </w:rPr>
        <w:t>（以下简称《规划》）应运而生，旨在转变商河农业发展方式，实现</w:t>
      </w:r>
      <w:r>
        <w:rPr>
          <w:rFonts w:hint="eastAsia" w:ascii="仿宋_GB2312" w:hAnsi="仿宋_GB2312" w:eastAsia="仿宋_GB2312" w:cs="仿宋_GB2312"/>
          <w:spacing w:val="-2"/>
          <w:sz w:val="32"/>
          <w:szCs w:val="32"/>
        </w:rPr>
        <w:t>农业现代高效。</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0" w:right="0" w:firstLine="632"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pacing w:val="-2"/>
          <w:sz w:val="32"/>
          <w:szCs w:val="32"/>
        </w:rPr>
        <w:t>该《规划》符合以人民为中心的发展思想，符合创新、协调、绿色、开放、共享的新发展理念，符合国家有关乡村振兴和</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十四五</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规划的大政方针，符合山东省委省政府的战略部署，符合济南市委市政府的规划布局。</w:t>
      </w:r>
      <w:r>
        <w:rPr>
          <w:rFonts w:hint="eastAsia" w:ascii="仿宋_GB2312" w:hAnsi="仿宋_GB2312" w:eastAsia="仿宋_GB2312" w:cs="仿宋_GB2312"/>
          <w:spacing w:val="-2"/>
          <w:sz w:val="32"/>
          <w:szCs w:val="32"/>
          <w:highlight w:val="none"/>
        </w:rPr>
        <w:t>该《规划》</w:t>
      </w:r>
      <w:r>
        <w:rPr>
          <w:rFonts w:hint="eastAsia" w:ascii="仿宋_GB2312" w:hAnsi="仿宋_GB2312" w:eastAsia="仿宋_GB2312" w:cs="仿宋_GB2312"/>
          <w:color w:val="auto"/>
          <w:spacing w:val="-2"/>
          <w:sz w:val="32"/>
          <w:szCs w:val="32"/>
        </w:rPr>
        <w:t>重点围绕全局性、前瞻性、关键性重大战略问题和突出短板，深入开展调查研究，综合分析论证和形势研判，就</w:t>
      </w:r>
      <w:r>
        <w:rPr>
          <w:rFonts w:hint="eastAsia" w:ascii="仿宋_GB2312" w:hAnsi="仿宋_GB2312" w:eastAsia="仿宋_GB2312" w:cs="仿宋_GB2312"/>
          <w:color w:val="auto"/>
          <w:spacing w:val="-2"/>
          <w:sz w:val="32"/>
          <w:szCs w:val="32"/>
          <w:lang w:eastAsia="zh-CN"/>
        </w:rPr>
        <w:t>产业规模、产业主题、产业平台、产业加工文旅、产业人才</w:t>
      </w:r>
      <w:r>
        <w:rPr>
          <w:rFonts w:hint="eastAsia" w:ascii="仿宋_GB2312" w:hAnsi="仿宋_GB2312" w:eastAsia="仿宋_GB2312" w:cs="仿宋_GB2312"/>
          <w:color w:val="auto"/>
          <w:spacing w:val="-2"/>
          <w:sz w:val="32"/>
          <w:szCs w:val="32"/>
        </w:rPr>
        <w:t>等方面，</w:t>
      </w:r>
      <w:r>
        <w:rPr>
          <w:rFonts w:hint="eastAsia" w:ascii="仿宋_GB2312" w:hAnsi="仿宋_GB2312" w:eastAsia="仿宋_GB2312" w:cs="仿宋_GB2312"/>
          <w:color w:val="auto"/>
          <w:spacing w:val="-19"/>
          <w:sz w:val="32"/>
          <w:szCs w:val="32"/>
        </w:rPr>
        <w:t>研究提出</w:t>
      </w:r>
      <w:r>
        <w:rPr>
          <w:rFonts w:hint="eastAsia" w:ascii="仿宋_GB2312" w:hAnsi="仿宋_GB2312" w:eastAsia="仿宋_GB2312" w:cs="仿宋_GB2312"/>
          <w:color w:val="auto"/>
          <w:spacing w:val="-19"/>
          <w:sz w:val="32"/>
          <w:szCs w:val="32"/>
          <w:lang w:eastAsia="zh-CN"/>
        </w:rPr>
        <w:t>“</w:t>
      </w:r>
      <w:r>
        <w:rPr>
          <w:rFonts w:hint="eastAsia" w:ascii="仿宋_GB2312" w:hAnsi="仿宋_GB2312" w:eastAsia="仿宋_GB2312" w:cs="仿宋_GB2312"/>
          <w:color w:val="auto"/>
          <w:spacing w:val="-19"/>
          <w:sz w:val="32"/>
          <w:szCs w:val="32"/>
        </w:rPr>
        <w:t>十四五</w:t>
      </w:r>
      <w:r>
        <w:rPr>
          <w:rFonts w:hint="eastAsia" w:ascii="仿宋_GB2312" w:hAnsi="仿宋_GB2312" w:eastAsia="仿宋_GB2312" w:cs="仿宋_GB2312"/>
          <w:color w:val="auto"/>
          <w:spacing w:val="-19"/>
          <w:sz w:val="32"/>
          <w:szCs w:val="32"/>
          <w:lang w:eastAsia="zh-CN"/>
        </w:rPr>
        <w:t>”</w:t>
      </w:r>
      <w:r>
        <w:rPr>
          <w:rFonts w:hint="eastAsia" w:ascii="仿宋_GB2312" w:hAnsi="仿宋_GB2312" w:eastAsia="仿宋_GB2312" w:cs="仿宋_GB2312"/>
          <w:color w:val="auto"/>
          <w:spacing w:val="-19"/>
          <w:sz w:val="32"/>
          <w:szCs w:val="32"/>
        </w:rPr>
        <w:t>时期商河</w:t>
      </w:r>
      <w:r>
        <w:rPr>
          <w:rFonts w:hint="eastAsia" w:ascii="仿宋_GB2312" w:hAnsi="仿宋_GB2312" w:eastAsia="仿宋_GB2312" w:cs="仿宋_GB2312"/>
          <w:color w:val="auto"/>
          <w:spacing w:val="-19"/>
          <w:sz w:val="32"/>
          <w:szCs w:val="32"/>
          <w:lang w:eastAsia="zh-CN"/>
        </w:rPr>
        <w:t>花卉产业</w:t>
      </w:r>
      <w:r>
        <w:rPr>
          <w:rFonts w:hint="eastAsia" w:ascii="仿宋_GB2312" w:hAnsi="仿宋_GB2312" w:eastAsia="仿宋_GB2312" w:cs="仿宋_GB2312"/>
          <w:color w:val="auto"/>
          <w:spacing w:val="-19"/>
          <w:sz w:val="32"/>
          <w:szCs w:val="32"/>
        </w:rPr>
        <w:t>发展</w:t>
      </w:r>
      <w:r>
        <w:rPr>
          <w:rFonts w:hint="eastAsia" w:ascii="仿宋_GB2312" w:hAnsi="仿宋_GB2312" w:eastAsia="仿宋_GB2312" w:cs="仿宋_GB2312"/>
          <w:color w:val="auto"/>
          <w:spacing w:val="-2"/>
          <w:sz w:val="32"/>
          <w:szCs w:val="32"/>
        </w:rPr>
        <w:t>的</w:t>
      </w:r>
      <w:r>
        <w:rPr>
          <w:rFonts w:hint="eastAsia" w:ascii="仿宋_GB2312" w:hAnsi="仿宋_GB2312" w:eastAsia="仿宋_GB2312" w:cs="仿宋_GB2312"/>
          <w:color w:val="auto"/>
          <w:spacing w:val="-2"/>
          <w:sz w:val="32"/>
          <w:szCs w:val="32"/>
          <w:lang w:eastAsia="zh-CN"/>
        </w:rPr>
        <w:t>要素建设、主体培育、人才建设、市场建设、品牌建设</w:t>
      </w:r>
      <w:r>
        <w:rPr>
          <w:rFonts w:hint="eastAsia" w:ascii="仿宋_GB2312" w:hAnsi="仿宋_GB2312" w:eastAsia="仿宋_GB2312" w:cs="仿宋_GB2312"/>
          <w:color w:val="auto"/>
          <w:spacing w:val="-2"/>
          <w:sz w:val="32"/>
          <w:szCs w:val="32"/>
        </w:rPr>
        <w:t>具体措施，这不仅为</w:t>
      </w:r>
      <w:r>
        <w:rPr>
          <w:rFonts w:hint="eastAsia" w:ascii="仿宋_GB2312" w:hAnsi="仿宋_GB2312" w:eastAsia="仿宋_GB2312" w:cs="仿宋_GB2312"/>
          <w:color w:val="auto"/>
          <w:spacing w:val="-2"/>
          <w:sz w:val="32"/>
          <w:szCs w:val="32"/>
          <w:lang w:eastAsia="zh-CN"/>
        </w:rPr>
        <w:t>商河县花卉产业</w:t>
      </w:r>
      <w:r>
        <w:rPr>
          <w:rFonts w:hint="eastAsia" w:ascii="仿宋_GB2312" w:hAnsi="仿宋_GB2312" w:eastAsia="仿宋_GB2312" w:cs="仿宋_GB2312"/>
          <w:color w:val="auto"/>
          <w:spacing w:val="-7"/>
          <w:sz w:val="32"/>
          <w:szCs w:val="32"/>
        </w:rPr>
        <w:t>高质量发展指明前进方向，也为商河推进实施乡村振</w:t>
      </w:r>
      <w:r>
        <w:rPr>
          <w:rFonts w:hint="eastAsia" w:ascii="仿宋_GB2312" w:hAnsi="仿宋_GB2312" w:eastAsia="仿宋_GB2312" w:cs="仿宋_GB2312"/>
          <w:color w:val="auto"/>
          <w:spacing w:val="-2"/>
          <w:sz w:val="32"/>
          <w:szCs w:val="32"/>
        </w:rPr>
        <w:t>兴战略提供行动纲领。</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0" w:right="0" w:firstLine="624" w:firstLineChars="200"/>
        <w:jc w:val="both"/>
        <w:textAlignment w:val="auto"/>
        <w:rPr>
          <w:rFonts w:ascii="Times New Roman" w:hAnsi="Times New Roman" w:eastAsia="宋体"/>
        </w:rPr>
      </w:pPr>
      <w:r>
        <w:rPr>
          <w:rFonts w:hint="eastAsia" w:ascii="仿宋_GB2312" w:hAnsi="仿宋_GB2312" w:eastAsia="仿宋_GB2312" w:cs="仿宋_GB2312"/>
          <w:spacing w:val="-4"/>
          <w:sz w:val="32"/>
          <w:szCs w:val="32"/>
        </w:rPr>
        <w:t>该《规划》充分考虑了商河的历史沿革和天然优势，也考虑到了存在问题和突出短板，结合商河当前的实际情况，将提高人民生活水</w:t>
      </w:r>
      <w:r>
        <w:rPr>
          <w:rFonts w:hint="eastAsia" w:ascii="仿宋_GB2312" w:hAnsi="仿宋_GB2312" w:eastAsia="仿宋_GB2312" w:cs="仿宋_GB2312"/>
          <w:spacing w:val="-6"/>
          <w:sz w:val="32"/>
          <w:szCs w:val="32"/>
        </w:rPr>
        <w:t>平和推进城市治理体系和治理能力的现代化结合起来，将产业融合发</w:t>
      </w:r>
      <w:r>
        <w:rPr>
          <w:rFonts w:hint="eastAsia" w:ascii="仿宋_GB2312" w:hAnsi="仿宋_GB2312" w:eastAsia="仿宋_GB2312" w:cs="仿宋_GB2312"/>
          <w:spacing w:val="-4"/>
          <w:sz w:val="32"/>
          <w:szCs w:val="32"/>
        </w:rPr>
        <w:t>展和乡村振兴实施结合起来，在统筹推进规划实施落地的同时，做好</w:t>
      </w:r>
      <w:r>
        <w:rPr>
          <w:rFonts w:hint="eastAsia" w:ascii="仿宋_GB2312" w:hAnsi="仿宋_GB2312" w:eastAsia="仿宋_GB2312" w:cs="仿宋_GB2312"/>
          <w:spacing w:val="-2"/>
          <w:sz w:val="32"/>
          <w:szCs w:val="32"/>
        </w:rPr>
        <w:t>政策宣传，总体有利于经济发展和社会稳定。</w:t>
      </w:r>
    </w:p>
    <w:bookmarkEnd w:id="39"/>
    <w:sectPr>
      <w:pgSz w:w="11910" w:h="16840"/>
      <w:pgMar w:top="1440" w:right="1800" w:bottom="1440" w:left="1800" w:header="0" w:footer="9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docshape1" o:spid="_x0000_s4097" o:spt="202" type="#_x0000_t202" style="position:absolute;left:0pt;margin-left:290.05pt;margin-top:771.25pt;height:11pt;width:16.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60" w:right="0" w:firstLine="0"/>
                  <w:jc w:val="left"/>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docshape2" o:spid="_x0000_s4098" o:spt="202" type="#_x0000_t202" style="position:absolute;left:0pt;margin-left:290.05pt;margin-top:782.15pt;height:11pt;width:16.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03" w:lineRule="exact"/>
                  <w:ind w:left="60" w:right="0" w:firstLine="0"/>
                  <w:jc w:val="left"/>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21</w:t>
                </w:r>
                <w:r>
                  <w:rPr>
                    <w:rFonts w:ascii="Calibri"/>
                    <w:spacing w:val="-5"/>
                    <w:sz w:val="1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20C57D"/>
    <w:multiLevelType w:val="singleLevel"/>
    <w:tmpl w:val="3520C57D"/>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ZDdjYzM5MjJiNGRhYjQ0MDZiNDI2MzFkMmI0NWI0YjIifQ=="/>
  </w:docVars>
  <w:rsids>
    <w:rsidRoot w:val="00000000"/>
    <w:rsid w:val="13AD1D9C"/>
    <w:rsid w:val="14A1762C"/>
    <w:rsid w:val="1CEE2891"/>
    <w:rsid w:val="2109208B"/>
    <w:rsid w:val="2120725A"/>
    <w:rsid w:val="28CB3F50"/>
    <w:rsid w:val="298E0293"/>
    <w:rsid w:val="2BD004D4"/>
    <w:rsid w:val="2EFC30B5"/>
    <w:rsid w:val="33BD7D96"/>
    <w:rsid w:val="35CD4495"/>
    <w:rsid w:val="37FA1042"/>
    <w:rsid w:val="40E0224E"/>
    <w:rsid w:val="41957422"/>
    <w:rsid w:val="4CF722A6"/>
    <w:rsid w:val="59376E68"/>
    <w:rsid w:val="623F2E94"/>
    <w:rsid w:val="639553B7"/>
    <w:rsid w:val="74363C5E"/>
    <w:rsid w:val="7E516D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line="767" w:lineRule="exact"/>
      <w:ind w:left="2513"/>
      <w:outlineLvl w:val="1"/>
    </w:pPr>
    <w:rPr>
      <w:rFonts w:ascii="微软雅黑" w:hAnsi="微软雅黑" w:eastAsia="微软雅黑" w:cs="微软雅黑"/>
      <w:b/>
      <w:bCs/>
      <w:sz w:val="44"/>
      <w:szCs w:val="44"/>
      <w:lang w:val="en-US" w:eastAsia="zh-CN" w:bidi="ar-SA"/>
    </w:rPr>
  </w:style>
  <w:style w:type="paragraph" w:styleId="3">
    <w:name w:val="heading 2"/>
    <w:basedOn w:val="1"/>
    <w:next w:val="1"/>
    <w:qFormat/>
    <w:uiPriority w:val="1"/>
    <w:pPr>
      <w:spacing w:before="12"/>
      <w:ind w:right="1548"/>
      <w:jc w:val="center"/>
      <w:outlineLvl w:val="2"/>
    </w:pPr>
    <w:rPr>
      <w:rFonts w:ascii="宋体" w:hAnsi="宋体" w:eastAsia="宋体" w:cs="宋体"/>
      <w:sz w:val="44"/>
      <w:szCs w:val="44"/>
      <w:lang w:val="en-US" w:eastAsia="zh-CN" w:bidi="ar-SA"/>
    </w:rPr>
  </w:style>
  <w:style w:type="paragraph" w:styleId="4">
    <w:name w:val="heading 3"/>
    <w:basedOn w:val="1"/>
    <w:next w:val="1"/>
    <w:qFormat/>
    <w:uiPriority w:val="1"/>
    <w:pPr>
      <w:ind w:left="1228" w:hanging="269"/>
      <w:outlineLvl w:val="3"/>
    </w:pPr>
    <w:rPr>
      <w:rFonts w:ascii="Microsoft JhengHei" w:hAnsi="Microsoft JhengHei" w:eastAsia="Microsoft JhengHei" w:cs="Microsoft JhengHei"/>
      <w:b/>
      <w:bCs/>
      <w:sz w:val="32"/>
      <w:szCs w:val="32"/>
      <w:lang w:val="en-US" w:eastAsia="zh-CN" w:bidi="ar-SA"/>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18"/>
    </w:pPr>
    <w:rPr>
      <w:rFonts w:ascii="宋体" w:hAnsi="宋体" w:eastAsia="宋体" w:cs="宋体"/>
      <w:sz w:val="28"/>
      <w:szCs w:val="28"/>
      <w:lang w:val="en-US" w:eastAsia="zh-CN" w:bidi="ar-SA"/>
    </w:rPr>
  </w:style>
  <w:style w:type="paragraph" w:styleId="6">
    <w:name w:val="toc 3"/>
    <w:basedOn w:val="1"/>
    <w:next w:val="1"/>
    <w:qFormat/>
    <w:uiPriority w:val="1"/>
    <w:pPr>
      <w:spacing w:before="265"/>
      <w:ind w:left="1212" w:hanging="493"/>
    </w:pPr>
    <w:rPr>
      <w:rFonts w:ascii="宋体" w:hAnsi="宋体" w:eastAsia="宋体" w:cs="宋体"/>
      <w:sz w:val="28"/>
      <w:szCs w:val="28"/>
      <w:lang w:val="en-US" w:eastAsia="zh-CN" w:bidi="ar-SA"/>
    </w:rPr>
  </w:style>
  <w:style w:type="paragraph" w:styleId="7">
    <w:name w:val="toc 1"/>
    <w:basedOn w:val="1"/>
    <w:next w:val="1"/>
    <w:qFormat/>
    <w:uiPriority w:val="1"/>
    <w:pPr>
      <w:spacing w:before="265"/>
      <w:ind w:right="1533"/>
      <w:jc w:val="center"/>
    </w:pPr>
    <w:rPr>
      <w:rFonts w:ascii="宋体" w:hAnsi="宋体" w:eastAsia="宋体" w:cs="宋体"/>
      <w:b/>
      <w:bCs/>
      <w:sz w:val="28"/>
      <w:szCs w:val="28"/>
      <w:lang w:val="en-US" w:eastAsia="zh-CN" w:bidi="ar-SA"/>
    </w:rPr>
  </w:style>
  <w:style w:type="paragraph" w:styleId="8">
    <w:name w:val="toc 4"/>
    <w:basedOn w:val="1"/>
    <w:next w:val="1"/>
    <w:qFormat/>
    <w:uiPriority w:val="1"/>
    <w:pPr>
      <w:spacing w:before="265"/>
      <w:ind w:left="2021" w:hanging="702"/>
    </w:pPr>
    <w:rPr>
      <w:rFonts w:ascii="宋体" w:hAnsi="宋体" w:eastAsia="宋体" w:cs="宋体"/>
      <w:sz w:val="28"/>
      <w:szCs w:val="28"/>
      <w:lang w:val="en-US" w:eastAsia="zh-CN" w:bidi="ar-SA"/>
    </w:rPr>
  </w:style>
  <w:style w:type="paragraph" w:styleId="9">
    <w:name w:val="toc 2"/>
    <w:basedOn w:val="1"/>
    <w:next w:val="1"/>
    <w:qFormat/>
    <w:uiPriority w:val="1"/>
    <w:pPr>
      <w:spacing w:before="265"/>
      <w:ind w:left="120"/>
    </w:pPr>
    <w:rPr>
      <w:rFonts w:ascii="宋体" w:hAnsi="宋体" w:eastAsia="宋体" w:cs="宋体"/>
      <w:b/>
      <w:bCs/>
      <w:sz w:val="28"/>
      <w:szCs w:val="28"/>
      <w:lang w:val="en-US" w:eastAsia="zh-CN" w:bidi="ar-SA"/>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212" w:hanging="493"/>
    </w:pPr>
    <w:rPr>
      <w:rFonts w:ascii="宋体" w:hAnsi="宋体" w:eastAsia="宋体" w:cs="宋体"/>
      <w:lang w:val="en-US" w:eastAsia="zh-CN" w:bidi="ar-SA"/>
    </w:rPr>
  </w:style>
  <w:style w:type="paragraph" w:customStyle="1" w:styleId="14">
    <w:name w:val="Table Paragraph"/>
    <w:basedOn w:val="1"/>
    <w:qFormat/>
    <w:uiPriority w:val="1"/>
    <w:pPr>
      <w:spacing w:before="32"/>
      <w:ind w:left="107"/>
    </w:pPr>
    <w:rPr>
      <w:rFonts w:ascii="仿宋" w:hAnsi="仿宋" w:eastAsia="仿宋" w:cs="仿宋"/>
      <w:lang w:val="en-US" w:eastAsia="zh-CN" w:bidi="ar-SA"/>
    </w:rPr>
  </w:style>
  <w:style w:type="paragraph" w:customStyle="1" w:styleId="15">
    <w:name w:val="WPSOffice手动目录 2"/>
    <w:qFormat/>
    <w:uiPriority w:val="0"/>
    <w:pPr>
      <w:ind w:leftChars="200"/>
    </w:pPr>
    <w:rPr>
      <w:rFonts w:asciiTheme="minorHAnsi" w:hAnsiTheme="minorHAnsi" w:eastAsiaTheme="minorHAnsi" w:cstheme="minorBidi"/>
      <w:sz w:val="20"/>
      <w:szCs w:val="20"/>
    </w:rPr>
  </w:style>
  <w:style w:type="character" w:customStyle="1" w:styleId="16">
    <w:name w:val="NormalCharacter"/>
    <w:link w:val="1"/>
    <w:semiHidden/>
    <w:qFormat/>
    <w:uiPriority w:val="0"/>
    <w:rPr>
      <w:rFonts w:ascii="宋体" w:hAnsi="宋体" w:eastAsia="宋体" w:cs="宋体"/>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ScaleCrop>false</ScaleCrop>
  <LinksUpToDate>false</LinksUpToDate>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2022-03-22T00:24:00Z</dcterms:created>
  <dc:creator>Administrator</dc:creator>
  <cp:lastModifiedBy>和风水之子</cp:lastModifiedBy>
  <dcterms:modified xsi:type="dcterms:W3CDTF">2023-12-25T02:28:01Z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y fmtid="{D5CDD505-2E9C-101B-9397-08002B2CF9AE}" pid="3" name="KSOProductBuildVer">
    <vt:lpwstr>2052-12.1.0.15712</vt:lpwstr>
  </property>
  <property fmtid="{D5CDD505-2E9C-101B-9397-08002B2CF9AE}" pid="4" name="ICV">
    <vt:lpwstr>91908120268B4D2D97DAA766CC037DE6</vt:lpwstr>
  </property>
</Properties>
</file>