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方正小标宋简体" w:hAnsi="方正小标宋简体" w:eastAsia="方正小标宋简体" w:cs="方正小标宋简体"/>
          <w:sz w:val="44"/>
          <w:szCs w:val="44"/>
          <w:lang w:eastAsia="zh-CN"/>
        </w:rPr>
      </w:pPr>
      <w:bookmarkStart w:id="0" w:name="_GoBack"/>
      <w:bookmarkEnd w:id="0"/>
      <w:r>
        <w:rPr>
          <w:rFonts w:hint="eastAsia" w:ascii="方正小标宋简体" w:hAnsi="方正小标宋简体" w:eastAsia="方正小标宋简体" w:cs="方正小标宋简体"/>
          <w:sz w:val="44"/>
          <w:szCs w:val="44"/>
          <w:lang w:eastAsia="zh-CN"/>
        </w:rPr>
        <w:t>商河县人民政府</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2020年</w:t>
      </w:r>
      <w:r>
        <w:rPr>
          <w:rFonts w:hint="eastAsia" w:ascii="方正小标宋简体" w:hAnsi="方正小标宋简体" w:eastAsia="方正小标宋简体" w:cs="方正小标宋简体"/>
          <w:sz w:val="44"/>
          <w:szCs w:val="44"/>
        </w:rPr>
        <w:t>政府信息公开工作年度报告</w:t>
      </w:r>
    </w:p>
    <w:p>
      <w:pPr>
        <w:pStyle w:val="3"/>
        <w:widowControl/>
        <w:shd w:val="clear" w:color="auto"/>
        <w:spacing w:beforeAutospacing="0" w:afterAutospacing="0"/>
        <w:ind w:firstLine="420"/>
        <w:jc w:val="both"/>
        <w:rPr>
          <w:rFonts w:ascii="宋体" w:hAnsi="宋体" w:eastAsia="宋体" w:cs="宋体"/>
          <w:color w:val="333333"/>
        </w:rPr>
      </w:pPr>
    </w:p>
    <w:p>
      <w:pPr>
        <w:ind w:firstLine="640" w:firstLineChars="200"/>
        <w:rPr>
          <w:rFonts w:hint="eastAsia" w:ascii="黑体" w:hAnsi="黑体" w:eastAsia="黑体" w:cs="黑体"/>
          <w:color w:val="333333"/>
          <w:sz w:val="32"/>
          <w:szCs w:val="32"/>
          <w:shd w:val="clear" w:color="auto" w:fill="FFFFFF"/>
        </w:rPr>
      </w:pPr>
      <w:r>
        <w:rPr>
          <w:rFonts w:hint="eastAsia" w:ascii="仿宋_GB2312" w:hAnsi="仿宋_GB2312" w:eastAsia="仿宋_GB2312" w:cs="仿宋_GB2312"/>
          <w:sz w:val="32"/>
          <w:szCs w:val="32"/>
        </w:rPr>
        <w:t>根据《中华人民共和国政府信息公开条例》（以下简称《条例》）的要求，特向社会公布2020年度本机关政府信息公开年度报告。本报告由总体情况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主动公开政府信息情况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收到和处理政府信息公开申请情况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政府信息公开行政复议</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行政诉讼情况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存在的主要问题及改进情况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其他需要报告的事项共六个部分组成。本报告中所列数据的统计期限自2020年1月1日起至2020年12月31日止。如对本报告有任何疑问，请与</w:t>
      </w:r>
      <w:r>
        <w:rPr>
          <w:rFonts w:hint="eastAsia" w:ascii="仿宋_GB2312" w:hAnsi="仿宋_GB2312" w:eastAsia="仿宋_GB2312" w:cs="仿宋_GB2312"/>
          <w:sz w:val="32"/>
          <w:szCs w:val="32"/>
          <w:lang w:eastAsia="zh-CN"/>
        </w:rPr>
        <w:t>商河县</w:t>
      </w:r>
      <w:r>
        <w:rPr>
          <w:rFonts w:hint="eastAsia" w:ascii="仿宋_GB2312" w:hAnsi="仿宋_GB2312" w:eastAsia="仿宋_GB2312" w:cs="仿宋_GB2312"/>
          <w:sz w:val="32"/>
          <w:szCs w:val="32"/>
        </w:rPr>
        <w:t>人民政府办公室联系（地址：</w:t>
      </w:r>
      <w:r>
        <w:rPr>
          <w:rFonts w:hint="eastAsia" w:ascii="仿宋_GB2312" w:hAnsi="仿宋_GB2312" w:eastAsia="仿宋_GB2312" w:cs="仿宋_GB2312"/>
          <w:sz w:val="32"/>
          <w:szCs w:val="32"/>
          <w:lang w:eastAsia="zh-CN"/>
        </w:rPr>
        <w:t>山东省</w:t>
      </w:r>
      <w:r>
        <w:rPr>
          <w:rFonts w:hint="eastAsia" w:ascii="仿宋_GB2312" w:hAnsi="仿宋_GB2312" w:eastAsia="仿宋_GB2312" w:cs="仿宋_GB2312"/>
          <w:sz w:val="32"/>
          <w:szCs w:val="32"/>
        </w:rPr>
        <w:t>济南市</w:t>
      </w:r>
      <w:r>
        <w:rPr>
          <w:rFonts w:hint="eastAsia" w:ascii="仿宋_GB2312" w:hAnsi="仿宋_GB2312" w:eastAsia="仿宋_GB2312" w:cs="仿宋_GB2312"/>
          <w:sz w:val="32"/>
          <w:szCs w:val="32"/>
          <w:lang w:eastAsia="zh-CN"/>
        </w:rPr>
        <w:t>商河县明辉路</w:t>
      </w:r>
      <w:r>
        <w:rPr>
          <w:rFonts w:hint="eastAsia" w:ascii="仿宋_GB2312" w:hAnsi="仿宋_GB2312" w:eastAsia="仿宋_GB2312" w:cs="仿宋_GB2312"/>
          <w:sz w:val="32"/>
          <w:szCs w:val="32"/>
          <w:lang w:val="en-US" w:eastAsia="zh-CN"/>
        </w:rPr>
        <w:t>119</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电话：0531-</w:t>
      </w:r>
      <w:r>
        <w:rPr>
          <w:rFonts w:hint="eastAsia" w:ascii="仿宋_GB2312" w:hAnsi="仿宋_GB2312" w:eastAsia="仿宋_GB2312" w:cs="仿宋_GB2312"/>
          <w:sz w:val="32"/>
          <w:szCs w:val="32"/>
          <w:lang w:val="en-US" w:eastAsia="zh-CN"/>
        </w:rPr>
        <w:t>84877567</w:t>
      </w:r>
      <w:r>
        <w:rPr>
          <w:rFonts w:hint="eastAsia" w:ascii="仿宋_GB2312" w:hAnsi="仿宋_GB2312" w:eastAsia="仿宋_GB2312" w:cs="仿宋_GB2312"/>
          <w:sz w:val="32"/>
          <w:szCs w:val="32"/>
        </w:rPr>
        <w:t>；邮箱：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"mailto:jnslcqzfbgszwgk@jn.shandong.cn"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shxzfbgsdzzwb</w:t>
      </w:r>
      <w:r>
        <w:rPr>
          <w:rFonts w:hint="eastAsia" w:ascii="仿宋_GB2312" w:hAnsi="仿宋_GB2312" w:eastAsia="仿宋_GB2312" w:cs="仿宋_GB2312"/>
          <w:sz w:val="32"/>
          <w:szCs w:val="32"/>
        </w:rPr>
        <w:t>@jn.shandong.cn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一、总体情况</w:t>
      </w:r>
    </w:p>
    <w:p>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以来，我县在市政府办公厅政务公开办公室的领导下，围绕省、市2020年政务公开工作要点，在重点领域信息公开、依申请公开、落实“五公开”制度、平台建设、基层政务公开标准化规范化建设、强化监督保障等方面进行了有力探索并取得初步成效，圆满完成基层政务公开标准化清单编制工作，共编制县级领域政务公开标准化清单目录26个，街镇级领域政务公开标准化清单目录16个。</w:t>
      </w:r>
    </w:p>
    <w:p>
      <w:pPr>
        <w:bidi w:val="0"/>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（一）主动公开政府信息情况</w:t>
      </w:r>
    </w:p>
    <w:p>
      <w:pPr>
        <w:bidi w:val="0"/>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1.重点领域信息公开情况。</w:t>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进一步规范重大建设项目的批准服务、批准结果、招投标、征收土地、重大设计及变更、施工、质量安全监督、竣工等信息公开。取缔往年仅开设专栏的做法，创新性开设“重大建设项目”专题页面，按项目名称分类进行全流程公开，最大程度实现醒目易找、定位准确、分类明确，全年公开重大建设项目有关信息100余条。</w:t>
      </w:r>
    </w:p>
    <w:p>
      <w:pPr>
        <w:bidi w:val="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3040" cy="5331460"/>
            <wp:effectExtent l="0" t="0" r="3810" b="2540"/>
            <wp:docPr id="13" name="图片 13" descr="重大建设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重大建设项目"/>
                    <pic:cNvPicPr>
                      <a:picLocks noChangeAspect="1"/>
                    </pic:cNvPicPr>
                  </pic:nvPicPr>
                  <pic:blipFill>
                    <a:blip r:embed="rId5"/>
                    <a:stretch>
                      <a:fillRect/>
                    </a:stretch>
                  </pic:blipFill>
                  <pic:spPr>
                    <a:xfrm>
                      <a:off x="0" y="0"/>
                      <a:ext cx="5273040" cy="5331460"/>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加强财政信息公开。按照县级财政预决算、县直部门财政预决算、街镇财政预决算、收支管理、政府债务、县级财政专项资金目录、预算绩效管理、价格与收费等方面进行了深度细分，全面推进财政信息公开、透明，全年公开财政类有关信息300余条。</w:t>
      </w:r>
    </w:p>
    <w:p>
      <w:pPr>
        <w:numPr>
          <w:ilvl w:val="0"/>
          <w:numId w:val="0"/>
        </w:numPr>
        <w:bidi w:val="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5420" cy="2898775"/>
            <wp:effectExtent l="0" t="0" r="11430" b="15875"/>
            <wp:docPr id="15" name="图片 15" descr="财政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财政信息"/>
                    <pic:cNvPicPr>
                      <a:picLocks noChangeAspect="1"/>
                    </pic:cNvPicPr>
                  </pic:nvPicPr>
                  <pic:blipFill>
                    <a:blip r:embed="rId6"/>
                    <a:stretch>
                      <a:fillRect/>
                    </a:stretch>
                  </pic:blipFill>
                  <pic:spPr>
                    <a:xfrm>
                      <a:off x="0" y="0"/>
                      <a:ext cx="5265420" cy="2898775"/>
                    </a:xfrm>
                    <a:prstGeom prst="rect">
                      <a:avLst/>
                    </a:prstGeom>
                  </pic:spPr>
                </pic:pic>
              </a:graphicData>
            </a:graphic>
          </wp:inline>
        </w:drawing>
      </w:r>
    </w:p>
    <w:p>
      <w:pPr>
        <w:numPr>
          <w:ilvl w:val="0"/>
          <w:numId w:val="0"/>
        </w:numPr>
        <w:bidi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推进公共资源配置领域信息公开。优化“公共资源配置栏目”设置，围绕住房保障、住房公积金、国有土地使用权出让、政府采购、国有产权交易及工程建设项目招标投标等方面进行细化分类，全年公开有关信息560余条。</w:t>
      </w:r>
    </w:p>
    <w:p>
      <w:pPr>
        <w:numPr>
          <w:ilvl w:val="0"/>
          <w:numId w:val="0"/>
        </w:numPr>
        <w:bidi w:val="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9865" cy="3041015"/>
            <wp:effectExtent l="0" t="0" r="6985" b="6985"/>
            <wp:docPr id="16" name="图片 16" descr="公共资源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共资源配置"/>
                    <pic:cNvPicPr>
                      <a:picLocks noChangeAspect="1"/>
                    </pic:cNvPicPr>
                  </pic:nvPicPr>
                  <pic:blipFill>
                    <a:blip r:embed="rId7"/>
                    <a:stretch>
                      <a:fillRect/>
                    </a:stretch>
                  </pic:blipFill>
                  <pic:spPr>
                    <a:xfrm>
                      <a:off x="0" y="0"/>
                      <a:ext cx="5269865" cy="3041015"/>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（4）依托公共资源交易数据共享平台，加大公共资源配置领域信息公开力度，推动实现公共资源交易全流程透明化。</w:t>
      </w:r>
    </w:p>
    <w:p>
      <w:pPr>
        <w:numPr>
          <w:ilvl w:val="0"/>
          <w:numId w:val="0"/>
        </w:numPr>
        <w:bidi w:val="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7960" cy="2764790"/>
            <wp:effectExtent l="0" t="0" r="8890" b="16510"/>
            <wp:docPr id="17" name="图片 17" descr="公共资源交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公共资源交易"/>
                    <pic:cNvPicPr>
                      <a:picLocks noChangeAspect="1"/>
                    </pic:cNvPicPr>
                  </pic:nvPicPr>
                  <pic:blipFill>
                    <a:blip r:embed="rId8"/>
                    <a:stretch>
                      <a:fillRect/>
                    </a:stretch>
                  </pic:blipFill>
                  <pic:spPr>
                    <a:xfrm>
                      <a:off x="0" y="0"/>
                      <a:ext cx="5267960" cy="2764790"/>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（5）推进社会公益事业建设领域信息公开，推动涉及教育、就业、医疗和社会保障等民生领域信息公开，助力“三大攻坚战”取得决定性胜利。</w:t>
      </w:r>
      <w:r>
        <w:rPr>
          <w:rFonts w:hint="eastAsia" w:ascii="仿宋_GB2312" w:hAnsi="仿宋_GB2312" w:eastAsia="仿宋_GB2312" w:cs="仿宋_GB2312"/>
          <w:sz w:val="32"/>
          <w:szCs w:val="32"/>
          <w:lang w:val="en-US" w:eastAsia="zh-CN"/>
        </w:rPr>
        <w:t>围绕扶贫脱困、</w:t>
      </w:r>
      <w:r>
        <w:rPr>
          <w:rFonts w:hint="default" w:ascii="仿宋_GB2312" w:hAnsi="仿宋_GB2312" w:eastAsia="仿宋_GB2312" w:cs="仿宋_GB2312"/>
          <w:sz w:val="32"/>
          <w:szCs w:val="32"/>
          <w:lang w:val="en-US" w:eastAsia="zh-CN"/>
        </w:rPr>
        <w:t>社会救助、</w:t>
      </w:r>
      <w:r>
        <w:rPr>
          <w:rFonts w:hint="eastAsia" w:ascii="仿宋_GB2312" w:hAnsi="仿宋_GB2312" w:eastAsia="仿宋_GB2312" w:cs="仿宋_GB2312"/>
          <w:sz w:val="32"/>
          <w:szCs w:val="32"/>
          <w:lang w:val="en-US" w:eastAsia="zh-CN"/>
        </w:rPr>
        <w:t>社会福利、</w:t>
      </w:r>
      <w:r>
        <w:rPr>
          <w:rFonts w:hint="default" w:ascii="仿宋_GB2312" w:hAnsi="仿宋_GB2312" w:eastAsia="仿宋_GB2312" w:cs="仿宋_GB2312"/>
          <w:sz w:val="32"/>
          <w:szCs w:val="32"/>
          <w:lang w:val="en-US" w:eastAsia="zh-CN"/>
        </w:rPr>
        <w:t>社会保险、就业创业、教育、医疗、公共文化体育、</w:t>
      </w:r>
      <w:r>
        <w:rPr>
          <w:rFonts w:hint="eastAsia" w:ascii="仿宋_GB2312" w:hAnsi="仿宋_GB2312" w:eastAsia="仿宋_GB2312" w:cs="仿宋_GB2312"/>
          <w:sz w:val="32"/>
          <w:szCs w:val="32"/>
          <w:lang w:val="en-US" w:eastAsia="zh-CN"/>
        </w:rPr>
        <w:t>市场监管、环境保护、“河长制”工作、</w:t>
      </w:r>
      <w:r>
        <w:rPr>
          <w:rFonts w:hint="default" w:ascii="仿宋_GB2312" w:hAnsi="仿宋_GB2312" w:eastAsia="仿宋_GB2312" w:cs="仿宋_GB2312"/>
          <w:sz w:val="32"/>
          <w:szCs w:val="32"/>
          <w:lang w:val="en-US" w:eastAsia="zh-CN"/>
        </w:rPr>
        <w:t>灾害事故救援等领域</w:t>
      </w:r>
      <w:r>
        <w:rPr>
          <w:rFonts w:hint="eastAsia" w:ascii="仿宋_GB2312" w:hAnsi="仿宋_GB2312" w:eastAsia="仿宋_GB2312" w:cs="仿宋_GB2312"/>
          <w:sz w:val="32"/>
          <w:szCs w:val="32"/>
          <w:lang w:val="en-US" w:eastAsia="zh-CN"/>
        </w:rPr>
        <w:t>做好信息公开工作，逐一开设专栏发布有关信息。其中，发布扶贫脱困信息157条、社会救助信息203条、社会福利信息139条、社会保险信息62条、就业创业信息56条、教育信息89条、医疗卫生信息359条、市场监管信息75条、环境保护信息1705条、“河长制”工作信息23条、灾害事故救援信息46条。</w:t>
      </w:r>
    </w:p>
    <w:p>
      <w:pPr>
        <w:numPr>
          <w:ilvl w:val="0"/>
          <w:numId w:val="0"/>
        </w:num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84065" cy="2755265"/>
            <wp:effectExtent l="0" t="0" r="6985" b="6985"/>
            <wp:docPr id="44" name="图片 44" descr="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表1"/>
                    <pic:cNvPicPr>
                      <a:picLocks noChangeAspect="1"/>
                    </pic:cNvPicPr>
                  </pic:nvPicPr>
                  <pic:blipFill>
                    <a:blip r:embed="rId9"/>
                    <a:stretch>
                      <a:fillRect/>
                    </a:stretch>
                  </pic:blipFill>
                  <pic:spPr>
                    <a:xfrm>
                      <a:off x="0" y="0"/>
                      <a:ext cx="4584065" cy="2755265"/>
                    </a:xfrm>
                    <a:prstGeom prst="rect">
                      <a:avLst/>
                    </a:prstGeom>
                  </pic:spPr>
                </pic:pic>
              </a:graphicData>
            </a:graphic>
          </wp:inline>
        </w:drawing>
      </w:r>
    </w:p>
    <w:p>
      <w:pPr>
        <w:numPr>
          <w:ilvl w:val="0"/>
          <w:numId w:val="0"/>
        </w:num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79620" cy="5815330"/>
            <wp:effectExtent l="0" t="0" r="11430" b="13970"/>
            <wp:docPr id="18" name="图片 18" descr="社会公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社会公益"/>
                    <pic:cNvPicPr>
                      <a:picLocks noChangeAspect="1"/>
                    </pic:cNvPicPr>
                  </pic:nvPicPr>
                  <pic:blipFill>
                    <a:blip r:embed="rId10"/>
                    <a:stretch>
                      <a:fillRect/>
                    </a:stretch>
                  </pic:blipFill>
                  <pic:spPr>
                    <a:xfrm>
                      <a:off x="0" y="0"/>
                      <a:ext cx="4579620" cy="5815330"/>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6）推进公共企事业单位信息公开。优化“公共企事业单位”专栏，围绕水电气热、教育、医疗、环保、公共交通等民生领域的公共企事业单位开展信息公开工作，全面公开基本概况、政策法规、办事信息等。重点做好教育、医疗领域信息公开，分学校逐一公开招生管理、财政预决算、经费管理、教学科研等信息；分医院逐一公开医疗服务、医院环境、行风建设等信息。全年共发布公共企事业单位信息66条。</w:t>
      </w:r>
    </w:p>
    <w:p>
      <w:pPr>
        <w:bidi w:val="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4604385" cy="3869690"/>
            <wp:effectExtent l="0" t="0" r="5715" b="16510"/>
            <wp:docPr id="19" name="图片 19" descr="公共企事业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共企事业单位"/>
                    <pic:cNvPicPr>
                      <a:picLocks noChangeAspect="1"/>
                    </pic:cNvPicPr>
                  </pic:nvPicPr>
                  <pic:blipFill>
                    <a:blip r:embed="rId11"/>
                    <a:stretch>
                      <a:fillRect/>
                    </a:stretch>
                  </pic:blipFill>
                  <pic:spPr>
                    <a:xfrm>
                      <a:off x="0" y="0"/>
                      <a:ext cx="4604385" cy="3869690"/>
                    </a:xfrm>
                    <a:prstGeom prst="rect">
                      <a:avLst/>
                    </a:prstGeom>
                  </pic:spPr>
                </pic:pic>
              </a:graphicData>
            </a:graphic>
          </wp:inline>
        </w:drawing>
      </w:r>
    </w:p>
    <w:p>
      <w:pPr>
        <w:bidi w:val="0"/>
        <w:ind w:firstLine="643"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2.围绕疫情防控推进公共卫生信息公开情况。</w:t>
      </w:r>
      <w:r>
        <w:rPr>
          <w:rFonts w:hint="eastAsia" w:ascii="仿宋_GB2312" w:hAnsi="仿宋_GB2312" w:eastAsia="仿宋_GB2312" w:cs="仿宋_GB2312"/>
          <w:b w:val="0"/>
          <w:bCs w:val="0"/>
          <w:sz w:val="32"/>
          <w:szCs w:val="32"/>
          <w:lang w:val="en-US" w:eastAsia="zh-CN"/>
        </w:rPr>
        <w:t>以政府网站为主导，政务新媒体、传统媒体为辅助，</w:t>
      </w:r>
      <w:r>
        <w:rPr>
          <w:rFonts w:hint="default" w:ascii="仿宋_GB2312" w:hAnsi="仿宋_GB2312" w:eastAsia="仿宋_GB2312" w:cs="仿宋_GB2312"/>
          <w:b w:val="0"/>
          <w:bCs w:val="0"/>
          <w:sz w:val="32"/>
          <w:szCs w:val="32"/>
          <w:lang w:val="en-US" w:eastAsia="zh-CN"/>
        </w:rPr>
        <w:t>积极推进疫情防控资金物资来源、分配和使用情况等信息公开，发布复工复产复学疫情防控信息，解读国家、省、市支持疫情防控保供、企业纾困和复工复产复学等重要决策部署，推动各项政策全面落地见效。加强各级各类应急预案公开和公共卫生知识普及，强化疫情防控常态化下疫情信息和防控措施发布</w:t>
      </w:r>
      <w:r>
        <w:rPr>
          <w:rFonts w:hint="eastAsia" w:ascii="仿宋_GB2312" w:hAnsi="仿宋_GB2312" w:eastAsia="仿宋_GB2312" w:cs="仿宋_GB2312"/>
          <w:b w:val="0"/>
          <w:bCs w:val="0"/>
          <w:sz w:val="32"/>
          <w:szCs w:val="32"/>
          <w:lang w:val="en-US" w:eastAsia="zh-CN"/>
        </w:rPr>
        <w:t>，全年发布疫情防控有关信息4000余条。</w:t>
      </w:r>
    </w:p>
    <w:p>
      <w:pPr>
        <w:bidi w:val="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inline distT="0" distB="0" distL="114300" distR="114300">
            <wp:extent cx="5273040" cy="2537460"/>
            <wp:effectExtent l="0" t="0" r="3810" b="15240"/>
            <wp:docPr id="23" name="图片 23" descr="e26e23fb529e6041f7e80c97ae5de2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6e23fb529e6041f7e80c97ae5de24_副本"/>
                    <pic:cNvPicPr>
                      <a:picLocks noChangeAspect="1"/>
                    </pic:cNvPicPr>
                  </pic:nvPicPr>
                  <pic:blipFill>
                    <a:blip r:embed="rId12"/>
                    <a:stretch>
                      <a:fillRect/>
                    </a:stretch>
                  </pic:blipFill>
                  <pic:spPr>
                    <a:xfrm>
                      <a:off x="0" y="0"/>
                      <a:ext cx="5273040" cy="2537460"/>
                    </a:xfrm>
                    <a:prstGeom prst="rect">
                      <a:avLst/>
                    </a:prstGeom>
                  </pic:spPr>
                </pic:pic>
              </a:graphicData>
            </a:graphic>
          </wp:inline>
        </w:drawing>
      </w:r>
    </w:p>
    <w:p>
      <w:pPr>
        <w:bidi w:val="0"/>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3.“五公开”制度落实情况。</w:t>
      </w:r>
    </w:p>
    <w:p>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（1）推进决策公开。</w:t>
      </w:r>
    </w:p>
    <w:p>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一是优化“重大决策预公开”专栏，公开年度重大决策事项目录，明确重大决策事项内容、承办单位及决策时间，首次规定全县重大决策征求意见时间不能少于30日。</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041265" cy="2599690"/>
            <wp:effectExtent l="0" t="0" r="6985" b="10160"/>
            <wp:docPr id="30" name="图片 30" descr="预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预公开"/>
                    <pic:cNvPicPr>
                      <a:picLocks noChangeAspect="1"/>
                    </pic:cNvPicPr>
                  </pic:nvPicPr>
                  <pic:blipFill>
                    <a:blip r:embed="rId13"/>
                    <a:stretch>
                      <a:fillRect/>
                    </a:stretch>
                  </pic:blipFill>
                  <pic:spPr>
                    <a:xfrm>
                      <a:off x="0" y="0"/>
                      <a:ext cx="5041265" cy="2599690"/>
                    </a:xfrm>
                    <a:prstGeom prst="rect">
                      <a:avLst/>
                    </a:prstGeom>
                  </pic:spPr>
                </pic:pic>
              </a:graphicData>
            </a:graphic>
          </wp:inline>
        </w:drawing>
      </w:r>
    </w:p>
    <w:p>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深入解读重要政策措施，按照“谁起草谁解读”原则，做到政策性文件与解读方案、解读材料同步组织、同步审签、同步部署、同步公开。积极创新解读方式，鼓励图片、视频等解读方式，落实主要负责人带头解读机制，通过政府门户网站“政策解读”专栏，对商政发、商政办发、规范性文件进行深入解读，全年共发布文字解读9篇、图片解读5篇、领导干部带头解读4篇。</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072255" cy="4152265"/>
            <wp:effectExtent l="0" t="0" r="4445" b="635"/>
            <wp:docPr id="31" name="图片 31" descr="图片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解读"/>
                    <pic:cNvPicPr>
                      <a:picLocks noChangeAspect="1"/>
                    </pic:cNvPicPr>
                  </pic:nvPicPr>
                  <pic:blipFill>
                    <a:blip r:embed="rId14"/>
                    <a:stretch>
                      <a:fillRect/>
                    </a:stretch>
                  </pic:blipFill>
                  <pic:spPr>
                    <a:xfrm>
                      <a:off x="0" y="0"/>
                      <a:ext cx="4072255" cy="4152265"/>
                    </a:xfrm>
                    <a:prstGeom prst="rect">
                      <a:avLst/>
                    </a:prstGeom>
                  </pic:spPr>
                </pic:pic>
              </a:graphicData>
            </a:graphic>
          </wp:inline>
        </w:drawing>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推进会议公开。常态化邀请利益相关方、市民代表、专家、媒体等列席政府常务会议制度，全年召开17次县政府常务会议，媒体记者全程列席，2次邀请市民代表、人大代表及政协委员列席，会议纪要依次在政府网站公开，充分保障人民群众知情权。</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2905125"/>
            <wp:effectExtent l="0" t="0" r="8255" b="9525"/>
            <wp:docPr id="28" name="图片 28" descr="会议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会议信息"/>
                    <pic:cNvPicPr>
                      <a:picLocks noChangeAspect="1"/>
                    </pic:cNvPicPr>
                  </pic:nvPicPr>
                  <pic:blipFill>
                    <a:blip r:embed="rId15"/>
                    <a:stretch>
                      <a:fillRect/>
                    </a:stretch>
                  </pic:blipFill>
                  <pic:spPr>
                    <a:xfrm>
                      <a:off x="0" y="0"/>
                      <a:ext cx="5268595" cy="2905125"/>
                    </a:xfrm>
                    <a:prstGeom prst="rect">
                      <a:avLst/>
                    </a:prstGeom>
                  </pic:spPr>
                </pic:pic>
              </a:graphicData>
            </a:graphic>
          </wp:inline>
        </w:drawing>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（2）推进管理和服务公开。</w:t>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一是更新完善权责清单并实现动态调整。分别按部门、事项类别进行分类，新设“权责清理与调整情况”专栏，集中展示权责清单调整情况。</w:t>
      </w:r>
    </w:p>
    <w:p>
      <w:pPr>
        <w:bidi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二是落实规范性文件定期清理制度。通过“规范性文件清理结果”专栏向社会公布。2020年，县政府到期自动失效规范性文件1份，决定继续有效的规范性文件15份。</w:t>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三是推进行政执法信息公开。进一步细分“行政执法公示”栏目，按照“谁执法谁公示”的原则，对行政执法的“事前”“事中”“事后”等相关信息进行集中分类公开，</w:t>
      </w:r>
      <w:r>
        <w:rPr>
          <w:rFonts w:hint="eastAsia" w:ascii="仿宋_GB2312" w:hAnsi="仿宋_GB2312" w:eastAsia="仿宋_GB2312" w:cs="仿宋_GB2312"/>
          <w:sz w:val="32"/>
          <w:szCs w:val="32"/>
          <w:lang w:eastAsia="zh-CN"/>
        </w:rPr>
        <w:t>全面加强行政执法社会监督，</w:t>
      </w:r>
      <w:r>
        <w:rPr>
          <w:rFonts w:hint="eastAsia" w:ascii="仿宋_GB2312" w:hAnsi="仿宋_GB2312" w:eastAsia="仿宋_GB2312" w:cs="仿宋_GB2312"/>
          <w:sz w:val="32"/>
          <w:szCs w:val="32"/>
          <w:lang w:val="en-US" w:eastAsia="zh-CN"/>
        </w:rPr>
        <w:t>进一步规范各部门的执法行为，全年公开行政执法类信息70余条。</w:t>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四是深化“双随机、一公开”监管、“互联网+监管”和“信用监管”等监管信息公开。</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543300" cy="3873500"/>
            <wp:effectExtent l="0" t="0" r="0" b="12700"/>
            <wp:docPr id="33" name="图片 33" descr="行政执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行政执法"/>
                    <pic:cNvPicPr>
                      <a:picLocks noChangeAspect="1"/>
                    </pic:cNvPicPr>
                  </pic:nvPicPr>
                  <pic:blipFill>
                    <a:blip r:embed="rId16"/>
                    <a:stretch>
                      <a:fillRect/>
                    </a:stretch>
                  </pic:blipFill>
                  <pic:spPr>
                    <a:xfrm>
                      <a:off x="0" y="0"/>
                      <a:ext cx="3543300" cy="3873500"/>
                    </a:xfrm>
                    <a:prstGeom prst="rect">
                      <a:avLst/>
                    </a:prstGeom>
                  </pic:spPr>
                </pic:pic>
              </a:graphicData>
            </a:graphic>
          </wp:inline>
        </w:drawing>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（3）推进执行和结果公开。</w:t>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一是常态化公开人大代表建议和政协委员提案办理结果，</w:t>
      </w:r>
      <w:r>
        <w:rPr>
          <w:rFonts w:hint="eastAsia" w:ascii="仿宋_GB2312" w:hAnsi="仿宋_GB2312" w:eastAsia="仿宋_GB2312" w:cs="仿宋_GB2312"/>
          <w:sz w:val="32"/>
          <w:szCs w:val="32"/>
          <w:lang w:eastAsia="zh-CN"/>
        </w:rPr>
        <w:t>将建议和提案办理结果公开情况常态化纳入商河县政府信息公开工作年度报告。全年通过政府网站“建议提案”专栏，全年共公开人大代表建议办理情况</w:t>
      </w:r>
      <w:r>
        <w:rPr>
          <w:rFonts w:hint="eastAsia" w:ascii="仿宋_GB2312" w:hAnsi="仿宋_GB2312" w:eastAsia="仿宋_GB2312" w:cs="仿宋_GB2312"/>
          <w:sz w:val="32"/>
          <w:szCs w:val="32"/>
          <w:lang w:val="en-US" w:eastAsia="zh-CN"/>
        </w:rPr>
        <w:t>104</w:t>
      </w:r>
      <w:r>
        <w:rPr>
          <w:rFonts w:hint="eastAsia" w:ascii="仿宋_GB2312" w:hAnsi="仿宋_GB2312" w:eastAsia="仿宋_GB2312" w:cs="仿宋_GB2312"/>
          <w:sz w:val="32"/>
          <w:szCs w:val="32"/>
          <w:lang w:eastAsia="zh-CN"/>
        </w:rPr>
        <w:t>条，政协委员提案办理情况</w:t>
      </w:r>
      <w:r>
        <w:rPr>
          <w:rFonts w:hint="eastAsia" w:ascii="仿宋_GB2312" w:hAnsi="仿宋_GB2312" w:eastAsia="仿宋_GB2312" w:cs="仿宋_GB2312"/>
          <w:sz w:val="32"/>
          <w:szCs w:val="32"/>
          <w:lang w:val="en-US" w:eastAsia="zh-CN"/>
        </w:rPr>
        <w:t>264条，建议提案办理总体情况16条。</w:t>
      </w:r>
    </w:p>
    <w:p>
      <w:pPr>
        <w:numPr>
          <w:ilvl w:val="0"/>
          <w:numId w:val="0"/>
        </w:num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343525" cy="2252345"/>
            <wp:effectExtent l="0" t="0" r="9525" b="14605"/>
            <wp:docPr id="34" name="图片 34" descr="建议提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建议提案"/>
                    <pic:cNvPicPr>
                      <a:picLocks noChangeAspect="1"/>
                    </pic:cNvPicPr>
                  </pic:nvPicPr>
                  <pic:blipFill>
                    <a:blip r:embed="rId17"/>
                    <a:stretch>
                      <a:fillRect/>
                    </a:stretch>
                  </pic:blipFill>
                  <pic:spPr>
                    <a:xfrm>
                      <a:off x="0" y="0"/>
                      <a:ext cx="5343525" cy="2252345"/>
                    </a:xfrm>
                    <a:prstGeom prst="rect">
                      <a:avLst/>
                    </a:prstGeom>
                  </pic:spPr>
                </pic:pic>
              </a:graphicData>
            </a:graphic>
          </wp:inline>
        </w:drawing>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围绕政府工作报告、年度重点工作、民生实事项目等重大决策部署，在“政府工作报告工作进展”专栏按季度集中发布落实情况，全面公开任务目标、责任分工、工作进展、工作成效、等信息，全年共发布相关信息50余条。</w:t>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是优化“审计公开”专栏，新增“审计工作报告”“审计整改报告”“执行效果评估”3个子栏目，加强督查审计发现问题及整改落实情况公开力度，增强抓落实的执行力，了解利益相关方和公众对决策实施的意见建议，积极开展决策执行效果评估并及时公开，全年共发布审计整改报告及专项审计情况共3次，开展执行效果评估3次。</w:t>
      </w:r>
    </w:p>
    <w:p>
      <w:pPr>
        <w:bidi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6690" cy="2233930"/>
            <wp:effectExtent l="0" t="0" r="10160" b="13970"/>
            <wp:docPr id="35" name="图片 35" descr="工作进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工作进展"/>
                    <pic:cNvPicPr>
                      <a:picLocks noChangeAspect="1"/>
                    </pic:cNvPicPr>
                  </pic:nvPicPr>
                  <pic:blipFill>
                    <a:blip r:embed="rId18"/>
                    <a:stretch>
                      <a:fillRect/>
                    </a:stretch>
                  </pic:blipFill>
                  <pic:spPr>
                    <a:xfrm>
                      <a:off x="0" y="0"/>
                      <a:ext cx="5266690" cy="2233930"/>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（二）依申请公开政府信息情况</w:t>
      </w:r>
    </w:p>
    <w:p>
      <w:pPr>
        <w:numPr>
          <w:ilvl w:val="0"/>
          <w:numId w:val="0"/>
        </w:numPr>
        <w:bidi w:val="0"/>
        <w:ind w:firstLine="640" w:firstLineChars="200"/>
        <w:jc w:val="both"/>
        <w:rPr>
          <w:rFonts w:hint="eastAsia" w:ascii="仿宋_GB2312" w:eastAsia="仿宋_GB2312"/>
          <w:sz w:val="32"/>
          <w:szCs w:val="32"/>
        </w:rPr>
      </w:pPr>
      <w:r>
        <w:rPr>
          <w:rFonts w:hint="eastAsia" w:ascii="仿宋_GB2312" w:eastAsia="仿宋_GB2312"/>
          <w:sz w:val="32"/>
          <w:szCs w:val="32"/>
        </w:rPr>
        <w:t>20</w:t>
      </w:r>
      <w:r>
        <w:rPr>
          <w:rFonts w:hint="eastAsia" w:ascii="仿宋_GB2312" w:eastAsia="仿宋_GB2312"/>
          <w:sz w:val="32"/>
          <w:szCs w:val="32"/>
          <w:lang w:val="en-US" w:eastAsia="zh-CN"/>
        </w:rPr>
        <w:t>20</w:t>
      </w:r>
      <w:r>
        <w:rPr>
          <w:rFonts w:hint="eastAsia" w:ascii="仿宋_GB2312" w:eastAsia="仿宋_GB2312"/>
          <w:sz w:val="32"/>
          <w:szCs w:val="32"/>
        </w:rPr>
        <w:t>年，我县</w:t>
      </w:r>
      <w:r>
        <w:rPr>
          <w:rFonts w:hint="eastAsia" w:ascii="仿宋_GB2312" w:eastAsia="仿宋_GB2312"/>
          <w:sz w:val="32"/>
          <w:szCs w:val="32"/>
          <w:lang w:eastAsia="zh-CN"/>
        </w:rPr>
        <w:t>以</w:t>
      </w:r>
      <w:r>
        <w:rPr>
          <w:rFonts w:hint="eastAsia" w:ascii="仿宋_GB2312" w:eastAsia="仿宋_GB2312"/>
          <w:sz w:val="32"/>
          <w:szCs w:val="32"/>
        </w:rPr>
        <w:t>《</w:t>
      </w:r>
      <w:r>
        <w:rPr>
          <w:rFonts w:hint="eastAsia" w:ascii="仿宋_GB2312" w:eastAsia="仿宋_GB2312"/>
          <w:sz w:val="32"/>
          <w:szCs w:val="32"/>
          <w:lang w:eastAsia="zh-CN"/>
        </w:rPr>
        <w:t>中华人民共和国</w:t>
      </w:r>
      <w:r>
        <w:rPr>
          <w:rFonts w:hint="eastAsia" w:ascii="仿宋_GB2312" w:eastAsia="仿宋_GB2312"/>
          <w:sz w:val="32"/>
          <w:szCs w:val="32"/>
        </w:rPr>
        <w:t>政府信息公开条例》</w:t>
      </w:r>
      <w:r>
        <w:rPr>
          <w:rFonts w:hint="eastAsia" w:ascii="仿宋_GB2312" w:eastAsia="仿宋_GB2312"/>
          <w:sz w:val="32"/>
          <w:szCs w:val="32"/>
          <w:lang w:eastAsia="zh-CN"/>
        </w:rPr>
        <w:t>为抓手</w:t>
      </w:r>
      <w:r>
        <w:rPr>
          <w:rFonts w:hint="eastAsia" w:ascii="仿宋_GB2312" w:eastAsia="仿宋_GB2312"/>
          <w:sz w:val="32"/>
          <w:szCs w:val="32"/>
        </w:rPr>
        <w:t>，</w:t>
      </w:r>
      <w:r>
        <w:rPr>
          <w:rFonts w:hint="eastAsia" w:ascii="仿宋_GB2312" w:eastAsia="仿宋_GB2312"/>
          <w:sz w:val="32"/>
          <w:szCs w:val="32"/>
          <w:lang w:eastAsia="zh-CN"/>
        </w:rPr>
        <w:t>不断提高</w:t>
      </w:r>
      <w:r>
        <w:rPr>
          <w:rFonts w:hint="eastAsia" w:ascii="仿宋_GB2312" w:eastAsia="仿宋_GB2312"/>
          <w:sz w:val="32"/>
          <w:szCs w:val="32"/>
        </w:rPr>
        <w:t>政府信息</w:t>
      </w:r>
      <w:r>
        <w:rPr>
          <w:rFonts w:hint="eastAsia" w:ascii="仿宋_GB2312" w:eastAsia="仿宋_GB2312"/>
          <w:sz w:val="32"/>
          <w:szCs w:val="32"/>
          <w:lang w:eastAsia="zh-CN"/>
        </w:rPr>
        <w:t>依</w:t>
      </w:r>
      <w:r>
        <w:rPr>
          <w:rFonts w:hint="eastAsia" w:ascii="仿宋_GB2312" w:eastAsia="仿宋_GB2312"/>
          <w:sz w:val="32"/>
          <w:szCs w:val="32"/>
        </w:rPr>
        <w:t>申请公开</w:t>
      </w:r>
      <w:r>
        <w:rPr>
          <w:rFonts w:hint="eastAsia" w:ascii="仿宋_GB2312" w:eastAsia="仿宋_GB2312"/>
          <w:sz w:val="32"/>
          <w:szCs w:val="32"/>
          <w:lang w:eastAsia="zh-CN"/>
        </w:rPr>
        <w:t>专业水平</w:t>
      </w:r>
      <w:r>
        <w:rPr>
          <w:rFonts w:hint="eastAsia" w:ascii="仿宋_GB2312" w:eastAsia="仿宋_GB2312"/>
          <w:sz w:val="32"/>
          <w:szCs w:val="32"/>
        </w:rPr>
        <w:t>。</w:t>
      </w:r>
      <w:r>
        <w:rPr>
          <w:rFonts w:hint="eastAsia" w:ascii="仿宋_GB2312" w:eastAsia="仿宋_GB2312"/>
          <w:sz w:val="32"/>
          <w:szCs w:val="32"/>
          <w:lang w:eastAsia="zh-CN"/>
        </w:rPr>
        <w:t>建立起依申请公开协办督办机制，进一步</w:t>
      </w:r>
      <w:r>
        <w:rPr>
          <w:rFonts w:hint="eastAsia" w:ascii="仿宋_GB2312" w:eastAsia="仿宋_GB2312"/>
          <w:sz w:val="32"/>
          <w:szCs w:val="32"/>
        </w:rPr>
        <w:t>明确各级各部门责任，完善受理、审查、</w:t>
      </w:r>
      <w:r>
        <w:rPr>
          <w:rFonts w:hint="eastAsia" w:ascii="仿宋_GB2312" w:eastAsia="仿宋_GB2312"/>
          <w:sz w:val="32"/>
          <w:szCs w:val="32"/>
          <w:lang w:eastAsia="zh-CN"/>
        </w:rPr>
        <w:t>办理</w:t>
      </w:r>
      <w:r>
        <w:rPr>
          <w:rFonts w:hint="eastAsia" w:ascii="仿宋_GB2312" w:eastAsia="仿宋_GB2312"/>
          <w:sz w:val="32"/>
          <w:szCs w:val="32"/>
        </w:rPr>
        <w:t>、答复以及保存备查等环节工作，</w:t>
      </w:r>
      <w:r>
        <w:rPr>
          <w:rFonts w:ascii="仿宋_GB2312" w:eastAsia="仿宋_GB2312"/>
          <w:sz w:val="32"/>
          <w:szCs w:val="32"/>
        </w:rPr>
        <w:t>做好与申请人的沟通联系</w:t>
      </w:r>
      <w:r>
        <w:rPr>
          <w:rFonts w:hint="eastAsia" w:ascii="仿宋_GB2312" w:eastAsia="仿宋_GB2312"/>
          <w:sz w:val="32"/>
          <w:szCs w:val="32"/>
          <w:lang w:eastAsia="zh-CN"/>
        </w:rPr>
        <w:t>，</w:t>
      </w:r>
      <w:r>
        <w:rPr>
          <w:rFonts w:hint="eastAsia" w:ascii="仿宋_GB2312" w:eastAsia="仿宋_GB2312"/>
          <w:sz w:val="32"/>
          <w:szCs w:val="32"/>
        </w:rPr>
        <w:t>提升依申请公开服务能力。</w:t>
      </w:r>
    </w:p>
    <w:p>
      <w:pPr>
        <w:numPr>
          <w:ilvl w:val="0"/>
          <w:numId w:val="0"/>
        </w:numPr>
        <w:bidi w:val="0"/>
        <w:ind w:firstLine="640" w:firstLineChars="200"/>
        <w:jc w:val="both"/>
        <w:rPr>
          <w:rFonts w:hint="default" w:ascii="仿宋_GB2312" w:eastAsia="仿宋_GB2312"/>
          <w:color w:val="auto"/>
          <w:sz w:val="32"/>
          <w:szCs w:val="32"/>
          <w:lang w:val="en-US" w:eastAsia="zh-CN"/>
        </w:rPr>
      </w:pPr>
      <w:r>
        <w:rPr>
          <w:rFonts w:hint="eastAsia" w:ascii="仿宋_GB2312" w:eastAsia="仿宋_GB2312"/>
          <w:sz w:val="32"/>
          <w:szCs w:val="32"/>
        </w:rPr>
        <w:t>截至20</w:t>
      </w:r>
      <w:r>
        <w:rPr>
          <w:rFonts w:hint="eastAsia" w:ascii="仿宋_GB2312" w:eastAsia="仿宋_GB2312"/>
          <w:sz w:val="32"/>
          <w:szCs w:val="32"/>
          <w:lang w:val="en-US" w:eastAsia="zh-CN"/>
        </w:rPr>
        <w:t>20</w:t>
      </w:r>
      <w:r>
        <w:rPr>
          <w:rFonts w:hint="eastAsia" w:ascii="仿宋_GB2312" w:eastAsia="仿宋_GB2312"/>
          <w:sz w:val="32"/>
          <w:szCs w:val="32"/>
        </w:rPr>
        <w:t>年12月</w:t>
      </w:r>
      <w:r>
        <w:rPr>
          <w:rFonts w:hint="eastAsia" w:ascii="仿宋_GB2312" w:eastAsia="仿宋_GB2312"/>
          <w:sz w:val="32"/>
          <w:szCs w:val="32"/>
          <w:lang w:eastAsia="zh-CN"/>
        </w:rPr>
        <w:t>底</w:t>
      </w:r>
      <w:r>
        <w:rPr>
          <w:rFonts w:hint="eastAsia" w:ascii="仿宋_GB2312" w:eastAsia="仿宋_GB2312"/>
          <w:sz w:val="32"/>
          <w:szCs w:val="32"/>
        </w:rPr>
        <w:t>，</w:t>
      </w:r>
      <w:r>
        <w:rPr>
          <w:rFonts w:hint="eastAsia" w:ascii="仿宋_GB2312" w:eastAsia="仿宋_GB2312"/>
          <w:sz w:val="32"/>
          <w:szCs w:val="32"/>
          <w:lang w:eastAsia="zh-CN"/>
        </w:rPr>
        <w:t>全县共</w:t>
      </w:r>
      <w:r>
        <w:rPr>
          <w:rFonts w:hint="eastAsia" w:ascii="仿宋_GB2312" w:eastAsia="仿宋_GB2312"/>
          <w:sz w:val="32"/>
          <w:szCs w:val="32"/>
        </w:rPr>
        <w:t>受理</w:t>
      </w:r>
      <w:r>
        <w:rPr>
          <w:rFonts w:hint="eastAsia" w:ascii="仿宋_GB2312" w:eastAsia="仿宋_GB2312"/>
          <w:sz w:val="32"/>
          <w:szCs w:val="32"/>
          <w:lang w:eastAsia="zh-CN"/>
        </w:rPr>
        <w:t>政府信息</w:t>
      </w:r>
      <w:r>
        <w:rPr>
          <w:rFonts w:hint="eastAsia" w:ascii="仿宋_GB2312" w:eastAsia="仿宋_GB2312"/>
          <w:sz w:val="32"/>
          <w:szCs w:val="32"/>
        </w:rPr>
        <w:t>公开申请</w:t>
      </w:r>
      <w:r>
        <w:rPr>
          <w:rFonts w:hint="eastAsia" w:ascii="仿宋_GB2312" w:eastAsia="仿宋_GB2312"/>
          <w:sz w:val="32"/>
          <w:szCs w:val="32"/>
          <w:lang w:val="en-US" w:eastAsia="zh-CN"/>
        </w:rPr>
        <w:t>26</w:t>
      </w:r>
      <w:r>
        <w:rPr>
          <w:rFonts w:hint="eastAsia" w:ascii="仿宋_GB2312" w:eastAsia="仿宋_GB2312"/>
          <w:sz w:val="32"/>
          <w:szCs w:val="32"/>
        </w:rPr>
        <w:t>件</w:t>
      </w:r>
      <w:r>
        <w:rPr>
          <w:rFonts w:hint="eastAsia" w:ascii="仿宋_GB2312" w:eastAsia="仿宋_GB2312"/>
          <w:sz w:val="32"/>
          <w:szCs w:val="32"/>
          <w:lang w:eastAsia="zh-CN"/>
        </w:rPr>
        <w:t>。其中，按申请人要求（邮寄、电子邮件）答复</w:t>
      </w:r>
      <w:r>
        <w:rPr>
          <w:rFonts w:hint="eastAsia" w:ascii="仿宋_GB2312" w:eastAsia="仿宋_GB2312"/>
          <w:sz w:val="32"/>
          <w:szCs w:val="32"/>
          <w:lang w:val="en-US" w:eastAsia="zh-CN"/>
        </w:rPr>
        <w:t>26</w:t>
      </w:r>
      <w:r>
        <w:rPr>
          <w:rFonts w:hint="eastAsia" w:ascii="仿宋_GB2312" w:eastAsia="仿宋_GB2312"/>
          <w:sz w:val="32"/>
          <w:szCs w:val="32"/>
        </w:rPr>
        <w:t>件，</w:t>
      </w:r>
      <w:r>
        <w:rPr>
          <w:rFonts w:hint="eastAsia" w:ascii="仿宋_GB2312" w:eastAsia="仿宋_GB2312"/>
          <w:sz w:val="32"/>
          <w:szCs w:val="32"/>
          <w:lang w:eastAsia="zh-CN"/>
        </w:rPr>
        <w:t>结转下年度继续办理</w:t>
      </w:r>
      <w:r>
        <w:rPr>
          <w:rFonts w:hint="eastAsia" w:ascii="仿宋_GB2312" w:eastAsia="仿宋_GB2312"/>
          <w:sz w:val="32"/>
          <w:szCs w:val="32"/>
          <w:lang w:val="en-US" w:eastAsia="zh-CN"/>
        </w:rPr>
        <w:t>0件；</w:t>
      </w:r>
      <w:r>
        <w:rPr>
          <w:rFonts w:hint="eastAsia" w:ascii="仿宋_GB2312" w:eastAsia="仿宋_GB2312"/>
          <w:color w:val="auto"/>
          <w:sz w:val="32"/>
          <w:szCs w:val="32"/>
          <w:lang w:eastAsia="zh-CN"/>
        </w:rPr>
        <w:t>公民申请</w:t>
      </w:r>
      <w:r>
        <w:rPr>
          <w:rFonts w:hint="eastAsia" w:ascii="仿宋_GB2312" w:eastAsia="仿宋_GB2312"/>
          <w:color w:val="auto"/>
          <w:sz w:val="32"/>
          <w:szCs w:val="32"/>
          <w:lang w:val="en-US" w:eastAsia="zh-CN"/>
        </w:rPr>
        <w:t>26件</w:t>
      </w:r>
      <w:r>
        <w:rPr>
          <w:rFonts w:hint="eastAsia" w:ascii="仿宋_GB2312" w:eastAsia="仿宋_GB2312"/>
          <w:color w:val="auto"/>
          <w:sz w:val="32"/>
          <w:szCs w:val="32"/>
          <w:lang w:eastAsia="zh-CN"/>
        </w:rPr>
        <w:t>，商业企业及其他组织申请</w:t>
      </w:r>
      <w:r>
        <w:rPr>
          <w:rFonts w:hint="eastAsia" w:ascii="仿宋_GB2312" w:eastAsia="仿宋_GB2312"/>
          <w:color w:val="auto"/>
          <w:sz w:val="32"/>
          <w:szCs w:val="32"/>
          <w:lang w:val="en-US" w:eastAsia="zh-CN"/>
        </w:rPr>
        <w:t>0件；网上申请13件、信函申请13件；征地拆迁、占地补偿安置类政府信息公开申请12件，占比最高；予以公开19件，不属于本行政机关公开6件，重复申请1件；因政府信息公开工作被申请行政复议、提起行政诉讼均为0次。</w:t>
      </w:r>
    </w:p>
    <w:p>
      <w:pPr>
        <w:numPr>
          <w:ilvl w:val="0"/>
          <w:numId w:val="0"/>
        </w:numPr>
        <w:bidi w:val="0"/>
        <w:jc w:val="center"/>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drawing>
          <wp:inline distT="0" distB="0" distL="114300" distR="114300">
            <wp:extent cx="4584065" cy="2755265"/>
            <wp:effectExtent l="0" t="0" r="6985" b="6985"/>
            <wp:docPr id="45" name="图片 45" descr="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表2"/>
                    <pic:cNvPicPr>
                      <a:picLocks noChangeAspect="1"/>
                    </pic:cNvPicPr>
                  </pic:nvPicPr>
                  <pic:blipFill>
                    <a:blip r:embed="rId19"/>
                    <a:stretch>
                      <a:fillRect/>
                    </a:stretch>
                  </pic:blipFill>
                  <pic:spPr>
                    <a:xfrm>
                      <a:off x="0" y="0"/>
                      <a:ext cx="4584065" cy="2755265"/>
                    </a:xfrm>
                    <a:prstGeom prst="rect">
                      <a:avLst/>
                    </a:prstGeom>
                  </pic:spPr>
                </pic:pic>
              </a:graphicData>
            </a:graphic>
          </wp:inline>
        </w:drawing>
      </w:r>
    </w:p>
    <w:p>
      <w:pPr>
        <w:numPr>
          <w:ilvl w:val="0"/>
          <w:numId w:val="0"/>
        </w:numPr>
        <w:bidi w:val="0"/>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（三）政府信息管理情况</w:t>
      </w:r>
    </w:p>
    <w:p>
      <w:pPr>
        <w:numPr>
          <w:ilvl w:val="0"/>
          <w:numId w:val="0"/>
        </w:numPr>
        <w:bidi w:val="0"/>
        <w:ind w:firstLine="640" w:firstLineChars="200"/>
        <w:jc w:val="both"/>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一是调整政务公开领导小组。2020年，我县根据县领导及部分县直部门领导职位变动和工作需要，对县政务公开工作领导小组成员进行了调整，明确县政府办公室作为全县政府信息公开工作牵头单位，负责全县政府信息公开工作业务指导和日常督导。</w:t>
      </w:r>
    </w:p>
    <w:p>
      <w:pPr>
        <w:numPr>
          <w:ilvl w:val="0"/>
          <w:numId w:val="0"/>
        </w:numPr>
        <w:bidi w:val="0"/>
        <w:jc w:val="both"/>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5266690" cy="2663190"/>
            <wp:effectExtent l="0" t="0" r="10160" b="3810"/>
            <wp:docPr id="36" name="图片 36" descr="领导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领导小组"/>
                    <pic:cNvPicPr>
                      <a:picLocks noChangeAspect="1"/>
                    </pic:cNvPicPr>
                  </pic:nvPicPr>
                  <pic:blipFill>
                    <a:blip r:embed="rId20"/>
                    <a:stretch>
                      <a:fillRect/>
                    </a:stretch>
                  </pic:blipFill>
                  <pic:spPr>
                    <a:xfrm>
                      <a:off x="0" y="0"/>
                      <a:ext cx="5266690" cy="2663190"/>
                    </a:xfrm>
                    <a:prstGeom prst="rect">
                      <a:avLst/>
                    </a:prstGeom>
                  </pic:spPr>
                </pic:pic>
              </a:graphicData>
            </a:graphic>
          </wp:inline>
        </w:drawing>
      </w:r>
    </w:p>
    <w:p>
      <w:pPr>
        <w:numPr>
          <w:ilvl w:val="0"/>
          <w:numId w:val="0"/>
        </w:numPr>
        <w:bidi w:val="0"/>
        <w:ind w:firstLine="640" w:firstLineChars="200"/>
        <w:jc w:val="both"/>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t>二是强化制度建设。建立了政府信息公开保密审查工作规定、政府网站信息发布审核制度、政务新媒体信息发布审核制度等一系列信息管理制度，严格保障信息安全。</w:t>
      </w:r>
    </w:p>
    <w:p>
      <w:pPr>
        <w:numPr>
          <w:ilvl w:val="0"/>
          <w:numId w:val="0"/>
        </w:numPr>
        <w:bidi w:val="0"/>
        <w:ind w:firstLine="640" w:firstLineChars="200"/>
        <w:jc w:val="both"/>
        <w:rPr>
          <w:rFonts w:hint="default" w:ascii="仿宋_GB2312" w:eastAsia="仿宋_GB2312"/>
          <w:color w:val="auto"/>
          <w:sz w:val="32"/>
          <w:szCs w:val="32"/>
          <w:lang w:val="en-US" w:eastAsia="zh-CN"/>
        </w:rPr>
      </w:pPr>
      <w:r>
        <w:rPr>
          <w:rFonts w:hint="eastAsia" w:ascii="仿宋_GB2312" w:eastAsia="仿宋_GB2312"/>
          <w:color w:val="auto"/>
          <w:sz w:val="32"/>
          <w:szCs w:val="32"/>
          <w:lang w:val="en-US" w:eastAsia="zh-CN"/>
        </w:rPr>
        <w:t>三是</w:t>
      </w:r>
      <w:r>
        <w:rPr>
          <w:rFonts w:hint="default" w:ascii="仿宋_GB2312" w:eastAsia="仿宋_GB2312"/>
          <w:color w:val="auto"/>
          <w:sz w:val="32"/>
          <w:szCs w:val="32"/>
          <w:lang w:val="en-US" w:eastAsia="zh-CN"/>
        </w:rPr>
        <w:t>及时更新</w:t>
      </w:r>
      <w:r>
        <w:rPr>
          <w:rFonts w:hint="eastAsia" w:ascii="仿宋_GB2312" w:eastAsia="仿宋_GB2312"/>
          <w:color w:val="auto"/>
          <w:sz w:val="32"/>
          <w:szCs w:val="32"/>
          <w:lang w:val="en-US" w:eastAsia="zh-CN"/>
        </w:rPr>
        <w:t>完善</w:t>
      </w:r>
      <w:r>
        <w:rPr>
          <w:rFonts w:hint="default" w:ascii="仿宋_GB2312" w:eastAsia="仿宋_GB2312"/>
          <w:color w:val="auto"/>
          <w:sz w:val="32"/>
          <w:szCs w:val="32"/>
          <w:lang w:val="en-US" w:eastAsia="zh-CN"/>
        </w:rPr>
        <w:t>主动公开基本目录、</w:t>
      </w:r>
      <w:r>
        <w:rPr>
          <w:rFonts w:hint="eastAsia" w:ascii="仿宋_GB2312" w:eastAsia="仿宋_GB2312"/>
          <w:color w:val="auto"/>
          <w:sz w:val="32"/>
          <w:szCs w:val="32"/>
          <w:lang w:val="en-US" w:eastAsia="zh-CN"/>
        </w:rPr>
        <w:t>政府信息公开</w:t>
      </w:r>
      <w:r>
        <w:rPr>
          <w:rFonts w:hint="default" w:ascii="仿宋_GB2312" w:eastAsia="仿宋_GB2312"/>
          <w:color w:val="auto"/>
          <w:sz w:val="32"/>
          <w:szCs w:val="32"/>
          <w:lang w:val="en-US" w:eastAsia="zh-CN"/>
        </w:rPr>
        <w:t>指南等</w:t>
      </w:r>
      <w:r>
        <w:rPr>
          <w:rFonts w:hint="eastAsia" w:ascii="仿宋_GB2312" w:eastAsia="仿宋_GB2312"/>
          <w:color w:val="auto"/>
          <w:sz w:val="32"/>
          <w:szCs w:val="32"/>
          <w:lang w:val="en-US" w:eastAsia="zh-CN"/>
        </w:rPr>
        <w:t>内容</w:t>
      </w:r>
      <w:r>
        <w:rPr>
          <w:rFonts w:hint="default" w:ascii="仿宋_GB2312" w:eastAsia="仿宋_GB2312"/>
          <w:color w:val="auto"/>
          <w:sz w:val="32"/>
          <w:szCs w:val="32"/>
          <w:lang w:val="en-US" w:eastAsia="zh-CN"/>
        </w:rPr>
        <w:t>，依法保障公众获取政府信息的权利。</w:t>
      </w:r>
    </w:p>
    <w:p>
      <w:pPr>
        <w:numPr>
          <w:ilvl w:val="0"/>
          <w:numId w:val="0"/>
        </w:numPr>
        <w:bidi w:val="0"/>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（四）公开平台建设情况</w:t>
      </w:r>
    </w:p>
    <w:p>
      <w:pPr>
        <w:numPr>
          <w:ilvl w:val="0"/>
          <w:numId w:val="0"/>
        </w:numPr>
        <w:bidi w:val="0"/>
        <w:ind w:firstLine="643" w:firstLineChars="200"/>
        <w:jc w:val="both"/>
        <w:rPr>
          <w:rFonts w:hint="eastAsia"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1.优化县政府门户网站栏目设置。</w:t>
      </w:r>
      <w:r>
        <w:rPr>
          <w:rFonts w:hint="eastAsia" w:ascii="仿宋_GB2312" w:eastAsia="仿宋_GB2312"/>
          <w:color w:val="auto"/>
          <w:sz w:val="32"/>
          <w:szCs w:val="32"/>
          <w:lang w:val="en-US" w:eastAsia="zh-CN"/>
        </w:rPr>
        <w:t>根据《国务院办公厅政府信息与政务公开办公室关于规范政府信息公开平台有关事项的通知》要求及省、市政府工作安排，充分发挥县政府门户网站政务公开“主阵地”的作用，对网站政府信息公开平台进行名称统一、格式统一，便民性得到了全方位提升。截至2020年底，县政府门户网站栏目数量达到612个，专题专栏数量12个，栏目实行动态调整机制，全方位覆盖政府行政行为的各个方面，法定公开内容全部公开到位。</w:t>
      </w:r>
    </w:p>
    <w:p>
      <w:pPr>
        <w:numPr>
          <w:ilvl w:val="0"/>
          <w:numId w:val="0"/>
        </w:numPr>
        <w:bidi w:val="0"/>
        <w:jc w:val="center"/>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3333750" cy="4163695"/>
            <wp:effectExtent l="0" t="0" r="0" b="8255"/>
            <wp:docPr id="37" name="图片 37" descr="专题专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专题专栏"/>
                    <pic:cNvPicPr>
                      <a:picLocks noChangeAspect="1"/>
                    </pic:cNvPicPr>
                  </pic:nvPicPr>
                  <pic:blipFill>
                    <a:blip r:embed="rId21"/>
                    <a:stretch>
                      <a:fillRect/>
                    </a:stretch>
                  </pic:blipFill>
                  <pic:spPr>
                    <a:xfrm>
                      <a:off x="0" y="0"/>
                      <a:ext cx="3333750" cy="4163695"/>
                    </a:xfrm>
                    <a:prstGeom prst="rect">
                      <a:avLst/>
                    </a:prstGeom>
                  </pic:spPr>
                </pic:pic>
              </a:graphicData>
            </a:graphic>
          </wp:inline>
        </w:drawing>
      </w:r>
    </w:p>
    <w:p>
      <w:pPr>
        <w:numPr>
          <w:ilvl w:val="0"/>
          <w:numId w:val="0"/>
        </w:numPr>
        <w:bidi w:val="0"/>
        <w:ind w:firstLine="643" w:firstLineChars="200"/>
        <w:jc w:val="both"/>
        <w:rPr>
          <w:rFonts w:hint="eastAsia" w:ascii="仿宋_GB2312" w:eastAsia="仿宋_GB2312"/>
          <w:b/>
          <w:bCs/>
          <w:color w:val="auto"/>
          <w:sz w:val="32"/>
          <w:szCs w:val="32"/>
          <w:lang w:val="en-US" w:eastAsia="zh-CN"/>
        </w:rPr>
      </w:pPr>
      <w:r>
        <w:rPr>
          <w:rFonts w:hint="eastAsia" w:ascii="仿宋_GB2312" w:eastAsia="仿宋_GB2312"/>
          <w:b/>
          <w:bCs/>
          <w:color w:val="auto"/>
          <w:sz w:val="32"/>
          <w:szCs w:val="32"/>
          <w:lang w:val="en-US" w:eastAsia="zh-CN"/>
        </w:rPr>
        <w:t>2.充分发挥政务新媒体宣传发动作用。</w:t>
      </w:r>
    </w:p>
    <w:p>
      <w:pPr>
        <w:numPr>
          <w:ilvl w:val="0"/>
          <w:numId w:val="0"/>
        </w:numPr>
        <w:bidi w:val="0"/>
        <w:ind w:firstLine="640" w:firstLineChars="200"/>
        <w:jc w:val="both"/>
        <w:rPr>
          <w:rFonts w:hint="eastAsia" w:ascii="仿宋_GB2312" w:eastAsia="仿宋_GB2312"/>
          <w:color w:val="auto"/>
          <w:sz w:val="32"/>
          <w:szCs w:val="32"/>
          <w:lang w:val="en-US" w:eastAsia="zh-CN"/>
        </w:rPr>
      </w:pPr>
      <w:r>
        <w:rPr>
          <w:rFonts w:hint="eastAsia" w:ascii="仿宋_GB2312" w:eastAsia="仿宋_GB2312"/>
          <w:b w:val="0"/>
          <w:bCs w:val="0"/>
          <w:color w:val="auto"/>
          <w:sz w:val="32"/>
          <w:szCs w:val="32"/>
          <w:lang w:val="en-US" w:eastAsia="zh-CN"/>
        </w:rPr>
        <w:t>一是</w:t>
      </w:r>
      <w:r>
        <w:rPr>
          <w:rFonts w:hint="eastAsia" w:ascii="仿宋_GB2312" w:eastAsia="仿宋_GB2312"/>
          <w:color w:val="auto"/>
          <w:sz w:val="32"/>
          <w:szCs w:val="32"/>
          <w:lang w:val="en-US" w:eastAsia="zh-CN"/>
        </w:rPr>
        <w:t>相继出台了《商河县政务新媒体值班制度》《商河县网络热点及舆情信息回应处置制度》等规定，杜绝出现政治性表述错误、虚假信息、反动、暴力、色情和其他引发负面舆情的信息。</w:t>
      </w:r>
    </w:p>
    <w:p>
      <w:pPr>
        <w:numPr>
          <w:ilvl w:val="0"/>
          <w:numId w:val="0"/>
        </w:numPr>
        <w:bidi w:val="0"/>
        <w:ind w:firstLine="640" w:firstLineChars="200"/>
        <w:jc w:val="both"/>
        <w:rPr>
          <w:rFonts w:hint="default" w:ascii="仿宋_GB2312" w:eastAsia="仿宋_GB2312"/>
          <w:color w:val="auto"/>
          <w:sz w:val="32"/>
          <w:szCs w:val="32"/>
          <w:lang w:val="en-US" w:eastAsia="zh-CN"/>
        </w:rPr>
      </w:pPr>
      <w:r>
        <w:rPr>
          <w:rFonts w:hint="eastAsia" w:ascii="仿宋_GB2312" w:eastAsia="仿宋_GB2312"/>
          <w:color w:val="auto"/>
          <w:sz w:val="32"/>
          <w:szCs w:val="32"/>
          <w:lang w:val="en-US" w:eastAsia="zh-CN"/>
        </w:rPr>
        <w:t>二是以官方微博“商河发布”、官方微信公众号“爱商河”为主，各镇（街道）、县直各部门新媒体账号为辅，打造政务新媒体“微集群”，统筹推进政务新媒体协同联动、融合发展，提升信息发布、解读回应、政民互动、办事服务整体水平。目前，我县现存正常运行的新媒体账号71个，全部在省政务新媒体备案管理系统中备案。</w:t>
      </w:r>
    </w:p>
    <w:p>
      <w:pPr>
        <w:numPr>
          <w:ilvl w:val="0"/>
          <w:numId w:val="0"/>
        </w:numPr>
        <w:bidi w:val="0"/>
        <w:jc w:val="center"/>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4211320" cy="4211320"/>
            <wp:effectExtent l="0" t="0" r="17780" b="17780"/>
            <wp:docPr id="38" name="图片 38" descr="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
                    <pic:cNvPicPr>
                      <a:picLocks noChangeAspect="1"/>
                    </pic:cNvPicPr>
                  </pic:nvPicPr>
                  <pic:blipFill>
                    <a:blip r:embed="rId22"/>
                    <a:stretch>
                      <a:fillRect/>
                    </a:stretch>
                  </pic:blipFill>
                  <pic:spPr>
                    <a:xfrm>
                      <a:off x="0" y="0"/>
                      <a:ext cx="4211320" cy="4211320"/>
                    </a:xfrm>
                    <a:prstGeom prst="rect">
                      <a:avLst/>
                    </a:prstGeom>
                  </pic:spPr>
                </pic:pic>
              </a:graphicData>
            </a:graphic>
          </wp:inline>
        </w:drawing>
      </w:r>
      <w:r>
        <w:rPr>
          <w:rFonts w:hint="eastAsia" w:ascii="仿宋_GB2312" w:eastAsia="仿宋_GB2312"/>
          <w:color w:val="auto"/>
          <w:sz w:val="32"/>
          <w:szCs w:val="32"/>
          <w:lang w:val="en-US" w:eastAsia="zh-CN"/>
        </w:rPr>
        <w:t xml:space="preserve"> </w:t>
      </w:r>
    </w:p>
    <w:p>
      <w:pPr>
        <w:numPr>
          <w:ilvl w:val="0"/>
          <w:numId w:val="0"/>
        </w:numPr>
        <w:bidi w:val="0"/>
        <w:ind w:firstLine="643" w:firstLineChars="200"/>
        <w:jc w:val="both"/>
        <w:rPr>
          <w:rFonts w:hint="eastAsia"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3.推进政府公报创新发展。</w:t>
      </w:r>
      <w:r>
        <w:rPr>
          <w:rFonts w:hint="eastAsia" w:ascii="仿宋_GB2312" w:eastAsia="仿宋_GB2312"/>
          <w:color w:val="auto"/>
          <w:sz w:val="32"/>
          <w:szCs w:val="32"/>
          <w:lang w:val="en-US" w:eastAsia="zh-CN"/>
        </w:rPr>
        <w:t>进一步增强了政府公报规范性，政府公报全面实现数字化，创刊以来刊登内容做到全部入库管理，并实现向社会有序开放。加强内容审核，重点突出政府公报权威性。</w:t>
      </w:r>
    </w:p>
    <w:p>
      <w:pPr>
        <w:numPr>
          <w:ilvl w:val="0"/>
          <w:numId w:val="0"/>
        </w:numPr>
        <w:bidi w:val="0"/>
        <w:jc w:val="center"/>
        <w:rPr>
          <w:rFonts w:hint="default" w:ascii="仿宋_GB2312" w:eastAsia="仿宋_GB2312"/>
          <w:color w:val="auto"/>
          <w:sz w:val="32"/>
          <w:szCs w:val="32"/>
          <w:lang w:val="en-US" w:eastAsia="zh-CN"/>
        </w:rPr>
      </w:pPr>
      <w:r>
        <w:rPr>
          <w:rFonts w:hint="default" w:ascii="仿宋_GB2312" w:eastAsia="仿宋_GB2312"/>
          <w:color w:val="auto"/>
          <w:sz w:val="32"/>
          <w:szCs w:val="32"/>
          <w:lang w:val="en-US" w:eastAsia="zh-CN"/>
        </w:rPr>
        <w:drawing>
          <wp:inline distT="0" distB="0" distL="114300" distR="114300">
            <wp:extent cx="4859655" cy="2651125"/>
            <wp:effectExtent l="0" t="0" r="17145" b="15875"/>
            <wp:docPr id="39" name="图片 39" descr="公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报"/>
                    <pic:cNvPicPr>
                      <a:picLocks noChangeAspect="1"/>
                    </pic:cNvPicPr>
                  </pic:nvPicPr>
                  <pic:blipFill>
                    <a:blip r:embed="rId23"/>
                    <a:stretch>
                      <a:fillRect/>
                    </a:stretch>
                  </pic:blipFill>
                  <pic:spPr>
                    <a:xfrm>
                      <a:off x="0" y="0"/>
                      <a:ext cx="4859655" cy="2651125"/>
                    </a:xfrm>
                    <a:prstGeom prst="rect">
                      <a:avLst/>
                    </a:prstGeom>
                  </pic:spPr>
                </pic:pic>
              </a:graphicData>
            </a:graphic>
          </wp:inline>
        </w:drawing>
      </w:r>
    </w:p>
    <w:p>
      <w:pPr>
        <w:numPr>
          <w:ilvl w:val="0"/>
          <w:numId w:val="0"/>
        </w:numPr>
        <w:bidi w:val="0"/>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（五）监督保障情况</w:t>
      </w:r>
    </w:p>
    <w:p>
      <w:pPr>
        <w:numPr>
          <w:ilvl w:val="0"/>
          <w:numId w:val="0"/>
        </w:numPr>
        <w:bidi w:val="0"/>
        <w:ind w:firstLine="643" w:firstLineChars="200"/>
        <w:jc w:val="both"/>
        <w:rPr>
          <w:rFonts w:hint="eastAsia"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1.强化评估考核激励作用</w:t>
      </w:r>
      <w:r>
        <w:rPr>
          <w:rFonts w:hint="default" w:ascii="仿宋_GB2312" w:eastAsia="仿宋_GB2312"/>
          <w:b/>
          <w:bCs/>
          <w:color w:val="auto"/>
          <w:sz w:val="32"/>
          <w:szCs w:val="32"/>
          <w:lang w:val="en-US" w:eastAsia="zh-CN"/>
        </w:rPr>
        <w:t>。</w:t>
      </w:r>
      <w:r>
        <w:rPr>
          <w:rFonts w:hint="eastAsia" w:ascii="仿宋_GB2312" w:eastAsia="仿宋_GB2312"/>
          <w:color w:val="auto"/>
          <w:sz w:val="32"/>
          <w:szCs w:val="32"/>
          <w:lang w:val="en-US" w:eastAsia="zh-CN"/>
        </w:rPr>
        <w:t>县</w:t>
      </w:r>
      <w:r>
        <w:rPr>
          <w:rFonts w:hint="default" w:ascii="仿宋_GB2312" w:eastAsia="仿宋_GB2312"/>
          <w:color w:val="auto"/>
          <w:sz w:val="32"/>
          <w:szCs w:val="32"/>
          <w:lang w:val="en-US" w:eastAsia="zh-CN"/>
        </w:rPr>
        <w:t>委、</w:t>
      </w:r>
      <w:r>
        <w:rPr>
          <w:rFonts w:hint="eastAsia" w:ascii="仿宋_GB2312" w:eastAsia="仿宋_GB2312"/>
          <w:color w:val="auto"/>
          <w:sz w:val="32"/>
          <w:szCs w:val="32"/>
          <w:lang w:val="en-US" w:eastAsia="zh-CN"/>
        </w:rPr>
        <w:t>县</w:t>
      </w:r>
      <w:r>
        <w:rPr>
          <w:rFonts w:hint="default" w:ascii="仿宋_GB2312" w:eastAsia="仿宋_GB2312"/>
          <w:color w:val="auto"/>
          <w:sz w:val="32"/>
          <w:szCs w:val="32"/>
          <w:lang w:val="en-US" w:eastAsia="zh-CN"/>
        </w:rPr>
        <w:t>政府</w:t>
      </w:r>
      <w:r>
        <w:rPr>
          <w:rFonts w:hint="eastAsia" w:ascii="仿宋_GB2312" w:eastAsia="仿宋_GB2312"/>
          <w:color w:val="auto"/>
          <w:sz w:val="32"/>
          <w:szCs w:val="32"/>
          <w:lang w:val="en-US" w:eastAsia="zh-CN"/>
        </w:rPr>
        <w:t>将</w:t>
      </w:r>
      <w:r>
        <w:rPr>
          <w:rFonts w:hint="default" w:ascii="仿宋_GB2312" w:eastAsia="仿宋_GB2312"/>
          <w:color w:val="auto"/>
          <w:sz w:val="32"/>
          <w:szCs w:val="32"/>
          <w:lang w:val="en-US" w:eastAsia="zh-CN"/>
        </w:rPr>
        <w:t>政务公开</w:t>
      </w:r>
      <w:r>
        <w:rPr>
          <w:rFonts w:hint="eastAsia" w:ascii="仿宋_GB2312" w:eastAsia="仿宋_GB2312"/>
          <w:color w:val="auto"/>
          <w:sz w:val="32"/>
          <w:szCs w:val="32"/>
          <w:lang w:val="en-US" w:eastAsia="zh-CN"/>
        </w:rPr>
        <w:t>工作</w:t>
      </w:r>
      <w:r>
        <w:rPr>
          <w:rFonts w:hint="default" w:ascii="仿宋_GB2312" w:eastAsia="仿宋_GB2312"/>
          <w:color w:val="auto"/>
          <w:sz w:val="32"/>
          <w:szCs w:val="32"/>
          <w:lang w:val="en-US" w:eastAsia="zh-CN"/>
        </w:rPr>
        <w:t>纳入</w:t>
      </w:r>
      <w:r>
        <w:rPr>
          <w:rFonts w:hint="eastAsia" w:ascii="仿宋_GB2312" w:eastAsia="仿宋_GB2312"/>
          <w:color w:val="auto"/>
          <w:sz w:val="32"/>
          <w:szCs w:val="32"/>
          <w:lang w:val="en-US" w:eastAsia="zh-CN"/>
        </w:rPr>
        <w:t>2020年</w:t>
      </w:r>
      <w:r>
        <w:rPr>
          <w:rFonts w:hint="default" w:ascii="仿宋_GB2312" w:eastAsia="仿宋_GB2312"/>
          <w:color w:val="auto"/>
          <w:sz w:val="32"/>
          <w:szCs w:val="32"/>
          <w:lang w:val="en-US" w:eastAsia="zh-CN"/>
        </w:rPr>
        <w:t>全</w:t>
      </w:r>
      <w:r>
        <w:rPr>
          <w:rFonts w:hint="eastAsia" w:ascii="仿宋_GB2312" w:eastAsia="仿宋_GB2312"/>
          <w:color w:val="auto"/>
          <w:sz w:val="32"/>
          <w:szCs w:val="32"/>
          <w:lang w:val="en-US" w:eastAsia="zh-CN"/>
        </w:rPr>
        <w:t>县</w:t>
      </w:r>
      <w:r>
        <w:rPr>
          <w:rFonts w:hint="default" w:ascii="仿宋_GB2312" w:eastAsia="仿宋_GB2312"/>
          <w:color w:val="auto"/>
          <w:sz w:val="32"/>
          <w:szCs w:val="32"/>
          <w:lang w:val="en-US" w:eastAsia="zh-CN"/>
        </w:rPr>
        <w:t>经济社会发展综合考核定性指标</w:t>
      </w:r>
      <w:r>
        <w:rPr>
          <w:rFonts w:hint="eastAsia" w:ascii="仿宋_GB2312" w:eastAsia="仿宋_GB2312"/>
          <w:color w:val="auto"/>
          <w:sz w:val="32"/>
          <w:szCs w:val="32"/>
          <w:lang w:val="en-US" w:eastAsia="zh-CN"/>
        </w:rPr>
        <w:t>，分值40分。出台商河县人民政府办公室《关于印发2020年商河县政务公开工作要点的通知》（商政办发</w:t>
      </w:r>
      <w:r>
        <w:rPr>
          <w:rFonts w:hint="eastAsia" w:ascii="仿宋_GB2312" w:hAnsi="仿宋_GB2312" w:eastAsia="仿宋_GB2312" w:cs="仿宋_GB2312"/>
          <w:color w:val="auto"/>
          <w:sz w:val="32"/>
          <w:szCs w:val="32"/>
          <w:lang w:val="en-US" w:eastAsia="zh-CN"/>
        </w:rPr>
        <w:t>〔2020〕2号</w:t>
      </w:r>
      <w:r>
        <w:rPr>
          <w:rFonts w:hint="eastAsia" w:ascii="仿宋_GB2312" w:eastAsia="仿宋_GB2312"/>
          <w:color w:val="auto"/>
          <w:sz w:val="32"/>
          <w:szCs w:val="32"/>
          <w:lang w:val="en-US" w:eastAsia="zh-CN"/>
        </w:rPr>
        <w:t>），制发《商河县2020年政务公开重点工作任务分解表》，明确各镇（街道）、县直部门（单位）职责分工。</w:t>
      </w:r>
    </w:p>
    <w:p>
      <w:pPr>
        <w:numPr>
          <w:ilvl w:val="0"/>
          <w:numId w:val="0"/>
        </w:numPr>
        <w:bidi w:val="0"/>
        <w:ind w:firstLine="643" w:firstLineChars="200"/>
        <w:jc w:val="both"/>
        <w:rPr>
          <w:rFonts w:hint="eastAsia" w:ascii="仿宋_GB2312" w:eastAsia="仿宋_GB2312"/>
          <w:b w:val="0"/>
          <w:bCs w:val="0"/>
          <w:color w:val="auto"/>
          <w:sz w:val="32"/>
          <w:szCs w:val="32"/>
          <w:lang w:val="en-US" w:eastAsia="zh-CN"/>
        </w:rPr>
      </w:pPr>
      <w:r>
        <w:rPr>
          <w:rFonts w:hint="eastAsia" w:ascii="仿宋_GB2312" w:eastAsia="仿宋_GB2312"/>
          <w:b/>
          <w:bCs/>
          <w:color w:val="auto"/>
          <w:sz w:val="32"/>
          <w:szCs w:val="32"/>
          <w:lang w:val="en-US" w:eastAsia="zh-CN"/>
        </w:rPr>
        <w:t>2.加强培训力度</w:t>
      </w:r>
      <w:r>
        <w:rPr>
          <w:rFonts w:hint="default" w:ascii="仿宋_GB2312" w:eastAsia="仿宋_GB2312"/>
          <w:b/>
          <w:bCs/>
          <w:color w:val="auto"/>
          <w:sz w:val="32"/>
          <w:szCs w:val="32"/>
          <w:lang w:val="en-US" w:eastAsia="zh-CN"/>
        </w:rPr>
        <w:t>，提升</w:t>
      </w:r>
      <w:r>
        <w:rPr>
          <w:rFonts w:hint="eastAsia" w:ascii="仿宋_GB2312" w:eastAsia="仿宋_GB2312"/>
          <w:b/>
          <w:bCs/>
          <w:color w:val="auto"/>
          <w:sz w:val="32"/>
          <w:szCs w:val="32"/>
          <w:lang w:val="en-US" w:eastAsia="zh-CN"/>
        </w:rPr>
        <w:t>工作水平。</w:t>
      </w:r>
      <w:r>
        <w:rPr>
          <w:rFonts w:hint="eastAsia" w:ascii="仿宋_GB2312" w:eastAsia="仿宋_GB2312"/>
          <w:b w:val="0"/>
          <w:bCs w:val="0"/>
          <w:color w:val="auto"/>
          <w:sz w:val="32"/>
          <w:szCs w:val="32"/>
          <w:lang w:val="en-US" w:eastAsia="zh-CN"/>
        </w:rPr>
        <w:t>2020年，我县共面向各镇（街道）、县直各部门（单位）开展2次政务公开工作培训，分别邀请市政府办公厅领导及第三方专家就《济南市2020年政务公开工作要点》及基层政务公开标准化清单编制工作进行了全面、细致的讲解，极大地提高了各级各部门工作人员的积极性，加深了对政务公开工作的理解。</w:t>
      </w:r>
    </w:p>
    <w:p>
      <w:pPr>
        <w:numPr>
          <w:ilvl w:val="0"/>
          <w:numId w:val="0"/>
        </w:numPr>
        <w:bidi w:val="0"/>
        <w:jc w:val="center"/>
        <w:rPr>
          <w:rFonts w:hint="default" w:ascii="仿宋_GB2312" w:eastAsia="仿宋_GB2312"/>
          <w:b w:val="0"/>
          <w:bCs w:val="0"/>
          <w:color w:val="auto"/>
          <w:sz w:val="32"/>
          <w:szCs w:val="32"/>
          <w:lang w:val="en-US" w:eastAsia="zh-CN"/>
        </w:rPr>
      </w:pPr>
      <w:r>
        <w:rPr>
          <w:rFonts w:hint="default" w:ascii="仿宋_GB2312" w:eastAsia="仿宋_GB2312"/>
          <w:b w:val="0"/>
          <w:bCs w:val="0"/>
          <w:color w:val="auto"/>
          <w:sz w:val="32"/>
          <w:szCs w:val="32"/>
          <w:lang w:val="en-US" w:eastAsia="zh-CN"/>
        </w:rPr>
        <w:drawing>
          <wp:inline distT="0" distB="0" distL="114300" distR="114300">
            <wp:extent cx="3810000" cy="3486150"/>
            <wp:effectExtent l="0" t="0" r="0" b="0"/>
            <wp:docPr id="41" name="图片 41" descr="民生智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民生智库"/>
                    <pic:cNvPicPr>
                      <a:picLocks noChangeAspect="1"/>
                    </pic:cNvPicPr>
                  </pic:nvPicPr>
                  <pic:blipFill>
                    <a:blip r:embed="rId24"/>
                    <a:stretch>
                      <a:fillRect/>
                    </a:stretch>
                  </pic:blipFill>
                  <pic:spPr>
                    <a:xfrm>
                      <a:off x="0" y="0"/>
                      <a:ext cx="3810000" cy="3486150"/>
                    </a:xfrm>
                    <a:prstGeom prst="rect">
                      <a:avLst/>
                    </a:prstGeom>
                  </pic:spPr>
                </pic:pic>
              </a:graphicData>
            </a:graphic>
          </wp:inline>
        </w:drawing>
      </w:r>
    </w:p>
    <w:p>
      <w:pPr>
        <w:bidi w:val="0"/>
        <w:ind w:firstLine="640" w:firstLineChars="200"/>
        <w:rPr>
          <w:rFonts w:hint="eastAsia" w:asciiTheme="minorEastAsia" w:hAnsiTheme="minorEastAsia" w:eastAsiaTheme="minorEastAsia" w:cstheme="minorEastAsia"/>
          <w:sz w:val="24"/>
          <w:szCs w:val="24"/>
        </w:rPr>
      </w:pPr>
      <w:r>
        <w:rPr>
          <w:rFonts w:hint="eastAsia" w:ascii="黑体" w:hAnsi="黑体" w:eastAsia="黑体" w:cs="黑体"/>
          <w:sz w:val="32"/>
          <w:szCs w:val="32"/>
        </w:rPr>
        <w:t>二、主动公开政府信息情况</w:t>
      </w:r>
    </w:p>
    <w:tbl>
      <w:tblPr>
        <w:tblStyle w:val="4"/>
        <w:tblW w:w="8708" w:type="dxa"/>
        <w:jc w:val="center"/>
        <w:shd w:val="clear" w:color="auto" w:fill="auto"/>
        <w:tblLayout w:type="fixed"/>
        <w:tblCellMar>
          <w:top w:w="0" w:type="dxa"/>
          <w:left w:w="0" w:type="dxa"/>
          <w:bottom w:w="0" w:type="dxa"/>
          <w:right w:w="0" w:type="dxa"/>
        </w:tblCellMar>
      </w:tblPr>
      <w:tblGrid>
        <w:gridCol w:w="3073"/>
        <w:gridCol w:w="17"/>
        <w:gridCol w:w="2095"/>
        <w:gridCol w:w="1505"/>
        <w:gridCol w:w="2018"/>
      </w:tblGrid>
      <w:tr>
        <w:tblPrEx>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sz w:val="24"/>
              </w:rPr>
            </w:pPr>
            <w:r>
              <w:rPr>
                <w:rFonts w:hint="eastAsia" w:asciiTheme="minorEastAsia" w:hAnsiTheme="minorEastAsia" w:cstheme="minorEastAsia"/>
                <w:color w:val="000000"/>
                <w:kern w:val="0"/>
                <w:sz w:val="24"/>
              </w:rPr>
              <w:t>第二十条第（一）项</w:t>
            </w:r>
          </w:p>
        </w:tc>
      </w:tr>
      <w:tr>
        <w:tblPrEx>
          <w:shd w:val="clear" w:color="auto" w:fill="auto"/>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公开数量</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对外公开</w:t>
            </w:r>
          </w:p>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总数量</w:t>
            </w:r>
          </w:p>
        </w:tc>
      </w:tr>
      <w:tr>
        <w:tblPrEx>
          <w:shd w:val="clear" w:color="auto" w:fill="auto"/>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规章</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p>
        </w:tc>
      </w:tr>
      <w:tr>
        <w:tblPrEx>
          <w:shd w:val="clear" w:color="auto" w:fill="auto"/>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规范性文件</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2</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2</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27</w:t>
            </w:r>
          </w:p>
        </w:tc>
      </w:tr>
      <w:tr>
        <w:tblPrEx>
          <w:shd w:val="clear" w:color="auto" w:fill="auto"/>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第二十条第（五）项</w:t>
            </w:r>
          </w:p>
        </w:tc>
      </w:tr>
      <w:tr>
        <w:tblPrEx>
          <w:shd w:val="clear" w:color="auto" w:fill="auto"/>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行政许可</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391</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增4</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9730</w:t>
            </w:r>
            <w:r>
              <w:rPr>
                <w:rFonts w:hint="eastAsia" w:asciiTheme="minorEastAsia" w:hAnsiTheme="minorEastAsia" w:cstheme="minorEastAsia"/>
                <w:color w:val="000000"/>
                <w:kern w:val="0"/>
                <w:sz w:val="24"/>
              </w:rPr>
              <w:t>　</w:t>
            </w:r>
          </w:p>
        </w:tc>
      </w:tr>
      <w:tr>
        <w:tblPrEx>
          <w:shd w:val="clear" w:color="auto" w:fill="auto"/>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5284</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eastAsia="zh-CN"/>
              </w:rPr>
              <w:t>减</w:t>
            </w:r>
            <w:r>
              <w:rPr>
                <w:rFonts w:hint="eastAsia" w:asciiTheme="minorEastAsia" w:hAnsiTheme="minorEastAsia" w:cstheme="minorEastAsia"/>
                <w:color w:val="000000"/>
                <w:kern w:val="0"/>
                <w:sz w:val="24"/>
                <w:lang w:val="en-US" w:eastAsia="zh-CN"/>
              </w:rPr>
              <w:t>587</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shd w:val="clear" w:color="auto" w:fill="auto"/>
                <w:lang w:val="en-US" w:eastAsia="zh-CN"/>
              </w:rPr>
              <w:t>224</w:t>
            </w:r>
          </w:p>
        </w:tc>
      </w:tr>
      <w:tr>
        <w:tblPrEx>
          <w:shd w:val="clear" w:color="auto" w:fill="auto"/>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第二十条第（六）项</w:t>
            </w:r>
          </w:p>
        </w:tc>
      </w:tr>
      <w:tr>
        <w:tblPrEx>
          <w:shd w:val="clear" w:color="auto" w:fill="auto"/>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shd w:val="clear" w:color="auto" w:fill="auto"/>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行政处罚</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3272</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eastAsia="zh-CN"/>
              </w:rPr>
              <w:t>减</w:t>
            </w:r>
            <w:r>
              <w:rPr>
                <w:rFonts w:hint="eastAsia" w:asciiTheme="minorEastAsia" w:hAnsiTheme="minorEastAsia" w:cstheme="minorEastAsia"/>
                <w:color w:val="000000"/>
                <w:kern w:val="0"/>
                <w:sz w:val="24"/>
                <w:lang w:val="en-US" w:eastAsia="zh-CN"/>
              </w:rPr>
              <w:t>123</w:t>
            </w:r>
            <w:r>
              <w:rPr>
                <w:rFonts w:hint="eastAsia" w:asciiTheme="minorEastAsia" w:hAnsiTheme="minorEastAsia" w:cstheme="minorEastAsia"/>
                <w:color w:val="000000"/>
                <w:kern w:val="0"/>
                <w:sz w:val="24"/>
              </w:rPr>
              <w:t>　</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shd w:val="clear" w:color="auto" w:fill="auto"/>
                <w:lang w:val="en-US" w:eastAsia="zh-CN"/>
              </w:rPr>
              <w:t>672</w:t>
            </w:r>
          </w:p>
        </w:tc>
      </w:tr>
      <w:tr>
        <w:tblPrEx>
          <w:shd w:val="clear" w:color="auto" w:fill="auto"/>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行政强制</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105</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eastAsia="zh-CN"/>
              </w:rPr>
              <w:t>增</w:t>
            </w:r>
            <w:r>
              <w:rPr>
                <w:rFonts w:hint="eastAsia" w:asciiTheme="minorEastAsia" w:hAnsiTheme="minorEastAsia" w:cstheme="minorEastAsia"/>
                <w:color w:val="000000"/>
                <w:kern w:val="0"/>
                <w:sz w:val="24"/>
                <w:lang w:val="en-US" w:eastAsia="zh-CN"/>
              </w:rPr>
              <w:t>54</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10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第二十条第（八）项</w:t>
            </w:r>
          </w:p>
        </w:tc>
      </w:tr>
      <w:tr>
        <w:tblPrEx>
          <w:shd w:val="clear" w:color="auto" w:fill="auto"/>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行政事业性收费</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28</w:t>
            </w:r>
            <w:r>
              <w:rPr>
                <w:rFonts w:hint="eastAsia" w:asciiTheme="minorEastAsia" w:hAnsiTheme="minorEastAsia" w:cstheme="minorEastAsia"/>
                <w:color w:val="000000"/>
                <w:kern w:val="0"/>
                <w:sz w:val="24"/>
              </w:rPr>
              <w:t>　</w:t>
            </w:r>
          </w:p>
        </w:tc>
        <w:tc>
          <w:tcPr>
            <w:tcW w:w="3523"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1</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第二十条第（九）项</w:t>
            </w:r>
          </w:p>
        </w:tc>
      </w:tr>
      <w:tr>
        <w:tblPrEx>
          <w:shd w:val="clear" w:color="auto" w:fill="auto"/>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0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采购总金额</w:t>
            </w:r>
          </w:p>
        </w:tc>
      </w:tr>
      <w:tr>
        <w:tblPrEx>
          <w:shd w:val="clear" w:color="auto" w:fill="auto"/>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政府集中采购</w:t>
            </w:r>
          </w:p>
        </w:tc>
        <w:tc>
          <w:tcPr>
            <w:tcW w:w="20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477</w:t>
            </w:r>
          </w:p>
        </w:tc>
        <w:tc>
          <w:tcPr>
            <w:tcW w:w="3523"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25.98亿元</w:t>
            </w:r>
          </w:p>
        </w:tc>
      </w:tr>
    </w:tbl>
    <w:p>
      <w:pPr>
        <w:bidi w:val="0"/>
        <w:rPr>
          <w:rFonts w:hint="eastAsia" w:asciiTheme="minorEastAsia" w:hAnsiTheme="minorEastAsia" w:eastAsiaTheme="minorEastAsia" w:cstheme="minorEastAsia"/>
          <w:sz w:val="24"/>
          <w:szCs w:val="24"/>
        </w:rPr>
      </w:pP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三、收到和处理政府信息公开申请情况</w:t>
      </w:r>
    </w:p>
    <w:p>
      <w:pPr>
        <w:bidi w:val="0"/>
        <w:rPr>
          <w:rFonts w:hint="eastAsia" w:asciiTheme="minorEastAsia" w:hAnsiTheme="minorEastAsia" w:eastAsiaTheme="minorEastAsia" w:cstheme="minorEastAsia"/>
          <w:sz w:val="24"/>
          <w:szCs w:val="24"/>
        </w:rPr>
      </w:pP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（本列数据的勾稽关系为：第一项加第二项之和，</w:t>
            </w:r>
          </w:p>
          <w:p>
            <w:pPr>
              <w:widowControl/>
              <w:jc w:val="center"/>
            </w:pPr>
            <w:r>
              <w:rPr>
                <w:rFonts w:hint="eastAsia" w:ascii="宋体" w:hAnsi="宋体" w:eastAsia="宋体" w:cs="宋体"/>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pPr>
            <w:r>
              <w:rPr>
                <w:rFonts w:hint="eastAsia" w:ascii="宋体" w:hAnsi="宋体" w:eastAsia="宋体" w:cs="宋体"/>
                <w:kern w:val="0"/>
                <w:sz w:val="20"/>
                <w:szCs w:val="20"/>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7" w:hRule="atLeast"/>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26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2" w:hRule="atLeast"/>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pPr>
            <w:r>
              <w:rPr>
                <w:rFonts w:hint="eastAsia" w:ascii="宋体" w:hAnsi="宋体" w:eastAsia="宋体" w:cs="宋体"/>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pPr>
            <w:r>
              <w:rPr>
                <w:rFonts w:ascii="楷体" w:hAnsi="楷体" w:eastAsia="楷体" w:cs="楷体"/>
                <w:kern w:val="0"/>
                <w:sz w:val="20"/>
                <w:szCs w:val="20"/>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19</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pPr>
            <w:r>
              <w:rPr>
                <w:rFonts w:hint="eastAsia" w:ascii="楷体" w:hAnsi="楷体"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rPr>
                <w:rFonts w:hint="eastAsia" w:ascii="楷体" w:hAnsi="楷体" w:eastAsia="楷体" w:cs="楷体"/>
                <w:kern w:val="0"/>
                <w:sz w:val="20"/>
                <w:szCs w:val="20"/>
              </w:rPr>
            </w:pPr>
            <w:r>
              <w:rPr>
                <w:rFonts w:hint="eastAsia" w:ascii="楷体" w:hAnsi="楷体" w:eastAsia="楷体" w:cs="楷体"/>
                <w:kern w:val="0"/>
                <w:sz w:val="20"/>
                <w:szCs w:val="20"/>
              </w:rPr>
              <w:t>5.要求行政机关确认或重新</w:t>
            </w:r>
          </w:p>
          <w:p>
            <w:pPr>
              <w:widowControl/>
              <w:spacing w:line="300" w:lineRule="exact"/>
              <w:ind w:firstLine="200" w:firstLineChars="100"/>
            </w:pPr>
            <w:r>
              <w:rPr>
                <w:rFonts w:hint="eastAsia" w:ascii="楷体" w:hAnsi="楷体" w:eastAsia="楷体" w:cs="楷体"/>
                <w:kern w:val="0"/>
                <w:sz w:val="20"/>
                <w:szCs w:val="20"/>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sz w:val="21"/>
                <w:szCs w:val="21"/>
                <w:lang w:val="en-US" w:eastAsia="zh-CN"/>
              </w:rPr>
              <w:t>26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26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r>
    </w:tbl>
    <w:p>
      <w:pPr>
        <w:bidi w:val="0"/>
        <w:ind w:firstLine="480" w:firstLineChars="200"/>
        <w:rPr>
          <w:rFonts w:hint="eastAsia" w:asciiTheme="minorEastAsia" w:hAnsiTheme="minorEastAsia" w:eastAsiaTheme="minorEastAsia" w:cstheme="minorEastAsia"/>
          <w:sz w:val="24"/>
          <w:szCs w:val="24"/>
        </w:rPr>
      </w:pP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四、政府信息公开行政复议、行政诉讼情况</w:t>
      </w:r>
    </w:p>
    <w:p>
      <w:pPr>
        <w:pStyle w:val="3"/>
        <w:widowControl/>
        <w:shd w:val="clear" w:color="auto"/>
        <w:spacing w:beforeAutospacing="0" w:afterAutospacing="0"/>
        <w:jc w:val="both"/>
        <w:rPr>
          <w:rFonts w:ascii="宋体" w:hAnsi="宋体" w:eastAsia="宋体" w:cs="宋体"/>
          <w:color w:val="333333"/>
        </w:rPr>
      </w:pP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49" w:leftChars="-71" w:right="-170" w:rightChars="-81"/>
              <w:jc w:val="center"/>
            </w:pPr>
            <w:r>
              <w:rPr>
                <w:rFonts w:hint="eastAsia" w:ascii="宋体" w:hAnsi="宋体" w:eastAsia="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18" w:leftChars="-56" w:right="-118" w:rightChars="-56"/>
              <w:jc w:val="center"/>
            </w:pPr>
            <w:r>
              <w:rPr>
                <w:rFonts w:hint="eastAsia" w:ascii="宋体" w:hAnsi="宋体"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总</w:t>
            </w:r>
          </w:p>
          <w:p>
            <w:pPr>
              <w:widowControl/>
              <w:spacing w:line="320" w:lineRule="exact"/>
              <w:jc w:val="center"/>
            </w:pPr>
            <w:r>
              <w:rPr>
                <w:rFonts w:hint="eastAsia" w:ascii="宋体" w:hAnsi="宋体"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hint="eastAsia" w:ascii="宋体" w:hAnsi="宋体" w:eastAsia="宋体" w:cs="宋体"/>
                <w:kern w:val="0"/>
                <w:sz w:val="20"/>
                <w:szCs w:val="20"/>
              </w:rPr>
            </w:pPr>
            <w:r>
              <w:rPr>
                <w:rFonts w:hint="eastAsia" w:ascii="宋体" w:hAnsi="宋体" w:eastAsia="宋体" w:cs="宋体"/>
                <w:kern w:val="0"/>
                <w:sz w:val="20"/>
                <w:szCs w:val="20"/>
              </w:rPr>
              <w:t>其他</w:t>
            </w:r>
          </w:p>
          <w:p>
            <w:pPr>
              <w:widowControl/>
              <w:ind w:left="-126" w:leftChars="-60" w:right="-136" w:rightChars="-65"/>
              <w:jc w:val="center"/>
            </w:pPr>
            <w:r>
              <w:rPr>
                <w:rFonts w:hint="eastAsia" w:ascii="宋体" w:hAnsi="宋体"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64" w:leftChars="-78" w:right="-153" w:rightChars="-73"/>
              <w:jc w:val="center"/>
            </w:pPr>
            <w:r>
              <w:rPr>
                <w:rFonts w:hint="eastAsia" w:ascii="宋体" w:hAnsi="宋体"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36" w:leftChars="-65" w:right="-124" w:rightChars="-59"/>
              <w:jc w:val="center"/>
            </w:pPr>
            <w:r>
              <w:rPr>
                <w:rFonts w:hint="eastAsia" w:ascii="宋体" w:hAnsi="宋体"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其他</w:t>
            </w:r>
          </w:p>
          <w:p>
            <w:pPr>
              <w:widowControl/>
              <w:ind w:left="-173" w:leftChars="-83" w:right="-134" w:rightChars="-64" w:hanging="1"/>
              <w:jc w:val="center"/>
            </w:pPr>
            <w:r>
              <w:rPr>
                <w:rFonts w:hint="eastAsia" w:ascii="宋体" w:hAnsi="宋体" w:eastAsia="宋体" w:cs="宋体"/>
                <w:color w:val="000000"/>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07" w:hRule="atLeast"/>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bl>
    <w:p>
      <w:pPr>
        <w:widowControl/>
        <w:shd w:val="clear" w:color="auto"/>
        <w:jc w:val="center"/>
        <w:rPr>
          <w:rFonts w:ascii="宋体" w:hAnsi="宋体" w:eastAsia="宋体" w:cs="宋体"/>
          <w:color w:val="333333"/>
          <w:sz w:val="24"/>
        </w:rPr>
      </w:pP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我县针对上一年度存在的问题进行了专项整改，总体比上一年度实效性更强、标准更高，公开的广度、深度都有了明显提升。但还存在一定问题，主要表现在：一是政策解读工作创新性有待提高，文字解读依然占据主流，缺乏更简洁、更让群众喜闻乐见的解读形式。二是工作人员专业水平参差不齐，随着人员更迭，各镇（街道）之间、各部门（单位）之间存在较大差距，拉低了整体水平。</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下一步，我县将以问题为导向，重点做好以下工作：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引入考核激励，丰富政策解读形式。在严格落实“谁起草、谁解读”制度的基础上，鼓励各部门采用图文、动漫、视频等新型解读方式，必要时将多样化解读比例纳入全县政务公开考核体系，提高部门积极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加强学习交流，提高培训频次。一方面，计划前往省内外先进地区学习政务公开先进经验，了解先进做法。另一方面，计划以专题培训为主，提高培训频次，降低单次培训人数，保证培训效率，全面提升工作人员专业水平。</w:t>
      </w: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六、其他需要报告的事项</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，我县</w:t>
      </w:r>
      <w:r>
        <w:rPr>
          <w:rFonts w:hint="eastAsia" w:ascii="仿宋_GB2312" w:hAnsi="仿宋_GB2312" w:eastAsia="仿宋_GB2312" w:cs="仿宋_GB2312"/>
          <w:sz w:val="32"/>
          <w:szCs w:val="32"/>
        </w:rPr>
        <w:t>政府信息公开工作开展情况比较顺利，</w:t>
      </w:r>
      <w:r>
        <w:rPr>
          <w:rFonts w:hint="eastAsia" w:ascii="仿宋_GB2312" w:hAnsi="仿宋_GB2312" w:eastAsia="仿宋_GB2312" w:cs="仿宋_GB2312"/>
          <w:sz w:val="32"/>
          <w:szCs w:val="32"/>
          <w:lang w:val="en-US" w:eastAsia="zh-CN"/>
        </w:rPr>
        <w:t>1篇案例入选国务院办公厅政府信息与政务公开办公室主办的《政务公开工作交流》期刊，5篇信息在山东省人民政府网站“政务公开看山东”专栏发表</w:t>
      </w:r>
      <w:r>
        <w:rPr>
          <w:rFonts w:hint="eastAsia" w:ascii="仿宋_GB2312" w:hAnsi="仿宋_GB2312" w:eastAsia="仿宋_GB2312" w:cs="仿宋_GB2312"/>
          <w:sz w:val="32"/>
          <w:szCs w:val="32"/>
        </w:rPr>
        <w:t>。</w:t>
      </w:r>
    </w:p>
    <w:p>
      <w:pPr>
        <w:wordWrap w:val="0"/>
        <w:bidi w:val="0"/>
        <w:ind w:firstLine="640" w:firstLineChars="200"/>
        <w:jc w:val="right"/>
        <w:rPr>
          <w:rFonts w:hint="eastAsia" w:ascii="仿宋_GB2312" w:hAnsi="仿宋_GB2312" w:eastAsia="仿宋_GB2312" w:cs="仿宋_GB2312"/>
          <w:sz w:val="32"/>
          <w:szCs w:val="32"/>
          <w:lang w:eastAsia="zh-CN"/>
        </w:rPr>
      </w:pPr>
    </w:p>
    <w:p>
      <w:pPr>
        <w:wordWrap w:val="0"/>
        <w:bidi w:val="0"/>
        <w:ind w:firstLine="640" w:firstLineChars="20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商河县人民政府办公室</w:t>
      </w:r>
      <w:r>
        <w:rPr>
          <w:rFonts w:hint="eastAsia" w:ascii="仿宋_GB2312" w:hAnsi="仿宋_GB2312" w:eastAsia="仿宋_GB2312" w:cs="仿宋_GB2312"/>
          <w:sz w:val="32"/>
          <w:szCs w:val="32"/>
          <w:lang w:val="en-US" w:eastAsia="zh-CN"/>
        </w:rPr>
        <w:t xml:space="preserve">     </w:t>
      </w:r>
    </w:p>
    <w:p>
      <w:pPr>
        <w:wordWrap w:val="0"/>
        <w:bidi w:val="0"/>
        <w:ind w:firstLine="640" w:firstLineChars="20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2021年2月19日       </w:t>
      </w:r>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FA667B"/>
    <w:rsid w:val="0CFA667B"/>
    <w:rsid w:val="0E5F7686"/>
    <w:rsid w:val="193E651F"/>
    <w:rsid w:val="2F4F4F91"/>
    <w:rsid w:val="44F867FF"/>
    <w:rsid w:val="51DE097C"/>
    <w:rsid w:val="63CB3205"/>
    <w:rsid w:val="76243C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5354</Words>
  <Characters>5571</Characters>
  <Lines>0</Lines>
  <Paragraphs>0</Paragraphs>
  <TotalTime>78</TotalTime>
  <ScaleCrop>false</ScaleCrop>
  <LinksUpToDate>false</LinksUpToDate>
  <CharactersWithSpaces>5598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2021-02-18T01:27:00Z</dcterms:created>
  <dc:creator>马子良</dc:creator>
  <cp:lastModifiedBy>。。</cp:lastModifiedBy>
  <cp:lastPrinted>2021-02-20T08:28:00Z</cp:lastPrinted>
  <dcterms:modified xsi:type="dcterms:W3CDTF">2023-05-25T06:30:21Z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6E2023CB48B3467EB8329789F5489981_13</vt:lpwstr>
  </property>
</Properties>
</file>