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widowControl/>
        <w:shd w:val="clear" w:color="auto"/>
        <w:spacing w:beforeAutospacing="0" w:afterAutospacing="0"/>
        <w:jc w:val="center"/>
        <w:rPr>
          <w:rFonts w:hint="eastAsia" w:ascii="方正小标宋简体" w:hAnsi="方正小标宋简体" w:eastAsia="方正小标宋简体" w:cs="方正小标宋简体"/>
          <w:color w:val="333333"/>
          <w:sz w:val="44"/>
          <w:szCs w:val="44"/>
          <w:shd w:val="clear" w:color="auto" w:fill="FFFFFF"/>
          <w:lang w:eastAsia="zh-CN"/>
        </w:rPr>
      </w:pPr>
      <w:bookmarkStart w:id="0" w:name="_GoBack"/>
      <w:bookmarkEnd w:id="0"/>
      <w:r>
        <w:rPr>
          <w:rFonts w:hint="eastAsia" w:ascii="方正小标宋简体" w:hAnsi="方正小标宋简体" w:eastAsia="方正小标宋简体" w:cs="方正小标宋简体"/>
          <w:color w:val="333333"/>
          <w:sz w:val="44"/>
          <w:szCs w:val="44"/>
          <w:shd w:val="clear" w:color="auto" w:fill="FFFFFF"/>
          <w:lang w:eastAsia="zh-CN"/>
        </w:rPr>
        <w:t>商河县人民政府</w:t>
      </w:r>
    </w:p>
    <w:p>
      <w:pPr>
        <w:pStyle w:val="3"/>
        <w:widowControl/>
        <w:shd w:val="clear" w:color="auto"/>
        <w:spacing w:beforeAutospacing="0" w:afterAutospacing="0"/>
        <w:jc w:val="center"/>
        <w:rPr>
          <w:rFonts w:ascii="宋体" w:hAnsi="宋体" w:eastAsia="宋体" w:cs="宋体"/>
          <w:color w:val="333333"/>
        </w:rPr>
      </w:pPr>
      <w:r>
        <w:rPr>
          <w:rFonts w:hint="eastAsia" w:ascii="方正小标宋简体" w:hAnsi="方正小标宋简体" w:eastAsia="方正小标宋简体" w:cs="方正小标宋简体"/>
          <w:color w:val="333333"/>
          <w:sz w:val="44"/>
          <w:szCs w:val="44"/>
          <w:shd w:val="clear" w:color="auto" w:fill="FFFFFF"/>
          <w:lang w:val="en-US" w:eastAsia="zh-CN"/>
        </w:rPr>
        <w:t>2019年</w:t>
      </w:r>
      <w:r>
        <w:rPr>
          <w:rFonts w:hint="eastAsia" w:ascii="方正小标宋简体" w:hAnsi="方正小标宋简体" w:eastAsia="方正小标宋简体" w:cs="方正小标宋简体"/>
          <w:color w:val="333333"/>
          <w:sz w:val="44"/>
          <w:szCs w:val="44"/>
          <w:shd w:val="clear" w:color="auto" w:fill="FFFFFF"/>
        </w:rPr>
        <w:t>政府信息公开工作年度报告</w:t>
      </w:r>
    </w:p>
    <w:p>
      <w:pPr>
        <w:pStyle w:val="3"/>
        <w:widowControl/>
        <w:shd w:val="clear" w:color="auto"/>
        <w:spacing w:beforeAutospacing="0" w:afterAutospacing="0"/>
        <w:ind w:firstLine="420"/>
        <w:jc w:val="both"/>
        <w:rPr>
          <w:rFonts w:ascii="宋体" w:hAnsi="宋体" w:eastAsia="宋体" w:cs="宋体"/>
          <w:color w:val="333333"/>
        </w:rPr>
      </w:pPr>
    </w:p>
    <w:p>
      <w:pPr>
        <w:pStyle w:val="3"/>
        <w:widowControl/>
        <w:shd w:val="clear" w:color="auto"/>
        <w:spacing w:beforeAutospacing="0" w:afterAutospacing="0"/>
        <w:ind w:firstLine="640"/>
        <w:jc w:val="both"/>
        <w:rPr>
          <w:rFonts w:ascii="黑体" w:hAnsi="黑体" w:eastAsia="黑体" w:cs="黑体"/>
          <w:color w:val="333333"/>
          <w:sz w:val="32"/>
          <w:szCs w:val="32"/>
        </w:rPr>
      </w:pPr>
      <w:r>
        <w:rPr>
          <w:rFonts w:hint="eastAsia" w:ascii="黑体" w:hAnsi="黑体" w:eastAsia="黑体" w:cs="黑体"/>
          <w:color w:val="333333"/>
          <w:sz w:val="32"/>
          <w:szCs w:val="32"/>
          <w:shd w:val="clear" w:color="auto" w:fill="FFFFFF"/>
        </w:rPr>
        <w:t>一、总体情况</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本报告中所列数据的统计时间为201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年1月1日至201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年12月31日。如对本年报有任何疑问，请与商河县人民政府办公室联系（地址：商河县明辉路119号，邮编：251600，电话：0531-84877567）。</w:t>
      </w:r>
    </w:p>
    <w:p>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2019年，商河县在省、市政府的坚强领导下，紧紧围绕全县“1383”工作体系，以提升政务公开质量为主线，着力推动行政权力运行公开、公共服务全流程公开、社会关切全方位回应，持续做好信息发布、解读回应、政民互动、平台建设，完善政务公开制度规范，进一步提高政府治理能力，切实增强人民群众满意度、获得感。</w:t>
      </w:r>
    </w:p>
    <w:p>
      <w:pPr>
        <w:bidi w:val="0"/>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（一）主动公开政府信息情况</w:t>
      </w:r>
    </w:p>
    <w:p>
      <w:pPr>
        <w:bidi w:val="0"/>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1.决策和执行公开情况。</w:t>
      </w:r>
    </w:p>
    <w:p>
      <w:pPr>
        <w:bidi w:val="0"/>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推进重要决策公开。设立“重大决策预公开”专栏，公开年度重大决策事项目录，明确重大决策事项内容、承办单位及决策时间；对涉及群众切身利益、需要社会广泛知晓的重大行政决策，在决策前向社会公布决策草案、决策依据，通过政府网站、新闻媒体，以及听证座谈、调查研究、咨询协商、媒体沟通等方式广泛听取公众意见，并以适当方式公开意见收集汇总、采纳情况和未予采纳的理由等。</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6690" cy="3061335"/>
            <wp:effectExtent l="0" t="0" r="10160" b="5715"/>
            <wp:docPr id="3" name="图片 3" descr="事项目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事项目录"/>
                    <pic:cNvPicPr>
                      <a:picLocks noChangeAspect="1"/>
                    </pic:cNvPicPr>
                  </pic:nvPicPr>
                  <pic:blipFill>
                    <a:blip r:embed="rId5"/>
                    <a:stretch>
                      <a:fillRect/>
                    </a:stretch>
                  </pic:blipFill>
                  <pic:spPr>
                    <a:xfrm>
                      <a:off x="0" y="0"/>
                      <a:ext cx="5266690" cy="3061335"/>
                    </a:xfrm>
                    <a:prstGeom prst="rect">
                      <a:avLst/>
                    </a:prstGeom>
                  </pic:spPr>
                </pic:pic>
              </a:graphicData>
            </a:graphic>
          </wp:inline>
        </w:drawing>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7325" cy="1331595"/>
            <wp:effectExtent l="0" t="0" r="9525" b="1905"/>
            <wp:docPr id="4" name="图片 4" descr="民意征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民意征集"/>
                    <pic:cNvPicPr>
                      <a:picLocks noChangeAspect="1"/>
                    </pic:cNvPicPr>
                  </pic:nvPicPr>
                  <pic:blipFill>
                    <a:blip r:embed="rId6"/>
                    <a:stretch>
                      <a:fillRect/>
                    </a:stretch>
                  </pic:blipFill>
                  <pic:spPr>
                    <a:xfrm>
                      <a:off x="0" y="0"/>
                      <a:ext cx="5267325" cy="1331595"/>
                    </a:xfrm>
                    <a:prstGeom prst="rect">
                      <a:avLst/>
                    </a:prstGeom>
                  </pic:spPr>
                </pic:pic>
              </a:graphicData>
            </a:graphic>
          </wp:inline>
        </w:drawing>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（2）推进会议公开。严格落实利益相关方、公众代表、专家、媒体等列席政府常务会议制度，全年共召开12次县政府常务会议，3次邀请代表列席，会议相关材料全部在政府网站公开，充分保障人民群众知情权。</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4514850" cy="2197100"/>
            <wp:effectExtent l="0" t="0" r="0" b="12700"/>
            <wp:docPr id="7" name="图片 7" descr="会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会议"/>
                    <pic:cNvPicPr>
                      <a:picLocks noChangeAspect="1"/>
                    </pic:cNvPicPr>
                  </pic:nvPicPr>
                  <pic:blipFill>
                    <a:blip r:embed="rId7"/>
                    <a:stretch>
                      <a:fillRect/>
                    </a:stretch>
                  </pic:blipFill>
                  <pic:spPr>
                    <a:xfrm>
                      <a:off x="0" y="0"/>
                      <a:ext cx="4514850" cy="2197100"/>
                    </a:xfrm>
                    <a:prstGeom prst="rect">
                      <a:avLst/>
                    </a:prstGeom>
                  </pic:spPr>
                </pic:pic>
              </a:graphicData>
            </a:graphic>
          </wp:inline>
        </w:drawing>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推进重要部署执行公开。围绕政府工作报告、年度重点工作、民生实事项目等重大决策部署，由县政府办公室在“政府工作报告工作进展”专栏按季度集中发布落实情况，全面公开任务目标、责任分工、工作进展、工作成效、等信息，全年共发布相关信息16条。设立“审计公开”专栏，加强督查审计发现问题及整改落实情况公开力度，增强抓落实的执行力，了解利益相关方和公众对决策实施的意见建议，积极开展决策执行效果评估并及时公开，全年共发布审计整改报告及专项审计情况各1次，开展执行效果评估12次。</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71135" cy="2209165"/>
            <wp:effectExtent l="0" t="0" r="5715" b="635"/>
            <wp:docPr id="5" name="图片 5" descr="政府工作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政府工作报告"/>
                    <pic:cNvPicPr>
                      <a:picLocks noChangeAspect="1"/>
                    </pic:cNvPicPr>
                  </pic:nvPicPr>
                  <pic:blipFill>
                    <a:blip r:embed="rId8"/>
                    <a:srcRect/>
                    <a:stretch>
                      <a:fillRect/>
                    </a:stretch>
                  </pic:blipFill>
                  <pic:spPr>
                    <a:xfrm>
                      <a:off x="0" y="0"/>
                      <a:ext cx="5271135" cy="2209165"/>
                    </a:xfrm>
                    <a:prstGeom prst="rect">
                      <a:avLst/>
                    </a:prstGeom>
                  </pic:spPr>
                </pic:pic>
              </a:graphicData>
            </a:graphic>
          </wp:inline>
        </w:drawing>
      </w:r>
    </w:p>
    <w:p>
      <w:pPr>
        <w:bidi w:val="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2405" cy="2377440"/>
            <wp:effectExtent l="0" t="0" r="4445" b="3810"/>
            <wp:docPr id="6" name="图片 6" descr="效果评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效果评估"/>
                    <pic:cNvPicPr>
                      <a:picLocks noChangeAspect="1"/>
                    </pic:cNvPicPr>
                  </pic:nvPicPr>
                  <pic:blipFill>
                    <a:blip r:embed="rId9"/>
                    <a:srcRect b="-808"/>
                    <a:stretch>
                      <a:fillRect/>
                    </a:stretch>
                  </pic:blipFill>
                  <pic:spPr>
                    <a:xfrm>
                      <a:off x="0" y="0"/>
                      <a:ext cx="5272405" cy="2377440"/>
                    </a:xfrm>
                    <a:prstGeom prst="rect">
                      <a:avLst/>
                    </a:prstGeom>
                  </pic:spPr>
                </pic:pic>
              </a:graphicData>
            </a:graphic>
          </wp:inline>
        </w:drawing>
      </w:r>
    </w:p>
    <w:p>
      <w:pPr>
        <w:bidi w:val="0"/>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（4）推进行政执法信息公开。</w:t>
      </w:r>
      <w:r>
        <w:rPr>
          <w:rFonts w:hint="eastAsia" w:ascii="仿宋_GB2312" w:hAnsi="仿宋_GB2312" w:eastAsia="仿宋_GB2312" w:cs="仿宋_GB2312"/>
          <w:sz w:val="32"/>
          <w:szCs w:val="32"/>
          <w:lang w:eastAsia="zh-CN"/>
        </w:rPr>
        <w:t>设立“行政执法公示”专栏，按照“谁执法谁公示”原则，要求县政府有关部门单位从“事前”、“事中”、“事后”角度出发，集中向社会依法公开行政执法职责、执法依据、执法程序、监督途径和执法结果等信息，全面加强行政执法社会监督，全年共发布执法信息</w:t>
      </w:r>
      <w:r>
        <w:rPr>
          <w:rFonts w:hint="eastAsia" w:ascii="仿宋_GB2312" w:hAnsi="仿宋_GB2312" w:eastAsia="仿宋_GB2312" w:cs="仿宋_GB2312"/>
          <w:sz w:val="32"/>
          <w:szCs w:val="32"/>
          <w:lang w:val="en-US" w:eastAsia="zh-CN"/>
        </w:rPr>
        <w:t>82条</w:t>
      </w:r>
      <w:r>
        <w:rPr>
          <w:rFonts w:hint="eastAsia" w:ascii="仿宋_GB2312" w:hAnsi="仿宋_GB2312" w:eastAsia="仿宋_GB2312" w:cs="仿宋_GB2312"/>
          <w:sz w:val="32"/>
          <w:szCs w:val="32"/>
          <w:lang w:eastAsia="zh-CN"/>
        </w:rPr>
        <w:t>。</w:t>
      </w:r>
    </w:p>
    <w:p>
      <w:pPr>
        <w:bidi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65420" cy="2852420"/>
            <wp:effectExtent l="0" t="0" r="11430" b="5080"/>
            <wp:docPr id="8" name="图片 8" descr="执法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执法公示"/>
                    <pic:cNvPicPr>
                      <a:picLocks noChangeAspect="1"/>
                    </pic:cNvPicPr>
                  </pic:nvPicPr>
                  <pic:blipFill>
                    <a:blip r:embed="rId10"/>
                    <a:srcRect b="663"/>
                    <a:stretch>
                      <a:fillRect/>
                    </a:stretch>
                  </pic:blipFill>
                  <pic:spPr>
                    <a:xfrm>
                      <a:off x="0" y="0"/>
                      <a:ext cx="5265420" cy="2852420"/>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（5）推进人大代表建议和政协委员提案办理结果公开。</w:t>
      </w:r>
      <w:r>
        <w:rPr>
          <w:rFonts w:hint="eastAsia" w:ascii="仿宋_GB2312" w:hAnsi="仿宋_GB2312" w:eastAsia="仿宋_GB2312" w:cs="仿宋_GB2312"/>
          <w:sz w:val="32"/>
          <w:szCs w:val="32"/>
          <w:lang w:eastAsia="zh-CN"/>
        </w:rPr>
        <w:t>设立“建议提案”专栏，全年共公开人大代表建议办理情况</w:t>
      </w:r>
      <w:r>
        <w:rPr>
          <w:rFonts w:hint="eastAsia" w:ascii="仿宋_GB2312" w:hAnsi="仿宋_GB2312" w:eastAsia="仿宋_GB2312" w:cs="仿宋_GB2312"/>
          <w:sz w:val="32"/>
          <w:szCs w:val="32"/>
          <w:lang w:val="en-US" w:eastAsia="zh-CN"/>
        </w:rPr>
        <w:t>89</w:t>
      </w:r>
      <w:r>
        <w:rPr>
          <w:rFonts w:hint="eastAsia" w:ascii="仿宋_GB2312" w:hAnsi="仿宋_GB2312" w:eastAsia="仿宋_GB2312" w:cs="仿宋_GB2312"/>
          <w:sz w:val="32"/>
          <w:szCs w:val="32"/>
          <w:lang w:eastAsia="zh-CN"/>
        </w:rPr>
        <w:t>条，政协委员提案办理情况</w:t>
      </w:r>
      <w:r>
        <w:rPr>
          <w:rFonts w:hint="eastAsia" w:ascii="仿宋_GB2312" w:hAnsi="仿宋_GB2312" w:eastAsia="仿宋_GB2312" w:cs="仿宋_GB2312"/>
          <w:sz w:val="32"/>
          <w:szCs w:val="32"/>
          <w:lang w:val="en-US" w:eastAsia="zh-CN"/>
        </w:rPr>
        <w:t>312条，建议提案办理总体情况15条。</w:t>
      </w:r>
      <w:r>
        <w:rPr>
          <w:rFonts w:hint="eastAsia" w:ascii="仿宋_GB2312" w:hAnsi="仿宋_GB2312" w:eastAsia="仿宋_GB2312" w:cs="仿宋_GB2312"/>
          <w:sz w:val="32"/>
          <w:szCs w:val="32"/>
          <w:lang w:eastAsia="zh-CN"/>
        </w:rPr>
        <w:t>对涉及公共利益、公众权益、社会关切及需要社会广泛知晓的建议和提案办理复文，进行了全文公开。对部分涉及面较宽、情况较复杂的建议和提案办理复文，通过公开摘要方式公开办理复文的主要内容。同时，将建议和提案办理结果公开情况常态化纳入商河县政府信息公开工作年度报告。</w:t>
      </w:r>
    </w:p>
    <w:p>
      <w:pPr>
        <w:widowControl w:val="0"/>
        <w:numPr>
          <w:ilvl w:val="0"/>
          <w:numId w:val="0"/>
        </w:numPr>
        <w:bidi w:val="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135" cy="3174365"/>
            <wp:effectExtent l="0" t="0" r="5715" b="6985"/>
            <wp:docPr id="9" name="图片 9" descr="建议提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建议提案"/>
                    <pic:cNvPicPr>
                      <a:picLocks noChangeAspect="1"/>
                    </pic:cNvPicPr>
                  </pic:nvPicPr>
                  <pic:blipFill>
                    <a:blip r:embed="rId11"/>
                    <a:stretch>
                      <a:fillRect/>
                    </a:stretch>
                  </pic:blipFill>
                  <pic:spPr>
                    <a:xfrm>
                      <a:off x="0" y="0"/>
                      <a:ext cx="5271135" cy="3174365"/>
                    </a:xfrm>
                    <a:prstGeom prst="rect">
                      <a:avLst/>
                    </a:prstGeom>
                  </pic:spPr>
                </pic:pic>
              </a:graphicData>
            </a:graphic>
          </wp:inline>
        </w:drawing>
      </w:r>
    </w:p>
    <w:p>
      <w:pPr>
        <w:bidi w:val="0"/>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2.围绕群众关切推动政策解读回应。</w:t>
      </w:r>
    </w:p>
    <w:p>
      <w:pPr>
        <w:bidi w:val="0"/>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深入解读重要政策措施，按照2019年全县经济社会发展总体要求和主要目标，全面公开、精准解读相关政策措施，按照“谁起草谁解读”原则，做到政策性文件与解读方案、解读材料同步组织、同步审签、同步部署、同步公开。积极创新解读方式，鼓励图片、视频等解读方式，落实主要负责人带头解读机制，通过政府门户网站“政策解读”专栏，对商政发、商政办发、规范性文件进行深入解读，全年发布解读材料17份。</w:t>
      </w:r>
    </w:p>
    <w:p>
      <w:p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5420" cy="1737995"/>
            <wp:effectExtent l="0" t="0" r="11430" b="14605"/>
            <wp:docPr id="11" name="图片 11" descr="解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解读"/>
                    <pic:cNvPicPr>
                      <a:picLocks noChangeAspect="1"/>
                    </pic:cNvPicPr>
                  </pic:nvPicPr>
                  <pic:blipFill>
                    <a:blip r:embed="rId12"/>
                    <a:srcRect/>
                    <a:stretch>
                      <a:fillRect/>
                    </a:stretch>
                  </pic:blipFill>
                  <pic:spPr>
                    <a:xfrm>
                      <a:off x="0" y="0"/>
                      <a:ext cx="5265420" cy="1737995"/>
                    </a:xfrm>
                    <a:prstGeom prst="rect">
                      <a:avLst/>
                    </a:prstGeom>
                  </pic:spPr>
                </pic:pic>
              </a:graphicData>
            </a:graphic>
          </wp:inline>
        </w:drawing>
      </w:r>
    </w:p>
    <w:p>
      <w:pPr>
        <w:bidi w:val="0"/>
        <w:ind w:firstLine="643" w:firstLineChars="200"/>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3.重点领域信息公开情况。</w:t>
      </w:r>
    </w:p>
    <w:p>
      <w:p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加强重大建设项目的批准服务、批准结果、招投标、征收土地、重大设计及变更、施工、质量安全监督、竣工等信息公开工作。设立“重大建设项目”专栏，以项目为分类依据，做到醒目易找、定位准确、分类明确，全年共公开有关信息59条。</w:t>
      </w:r>
    </w:p>
    <w:p>
      <w:pPr>
        <w:bidi w:val="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3040" cy="1101725"/>
            <wp:effectExtent l="0" t="0" r="3810" b="3175"/>
            <wp:docPr id="13" name="图片 13" descr="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项目"/>
                    <pic:cNvPicPr>
                      <a:picLocks noChangeAspect="1"/>
                    </pic:cNvPicPr>
                  </pic:nvPicPr>
                  <pic:blipFill>
                    <a:blip r:embed="rId13"/>
                    <a:stretch>
                      <a:fillRect/>
                    </a:stretch>
                  </pic:blipFill>
                  <pic:spPr>
                    <a:xfrm>
                      <a:off x="0" y="0"/>
                      <a:ext cx="5273040" cy="1101725"/>
                    </a:xfrm>
                    <a:prstGeom prst="rect">
                      <a:avLst/>
                    </a:prstGeom>
                  </pic:spPr>
                </pic:pic>
              </a:graphicData>
            </a:graphic>
          </wp:inline>
        </w:drawing>
      </w:r>
    </w:p>
    <w:p>
      <w:pPr>
        <w:numPr>
          <w:ilvl w:val="0"/>
          <w:numId w:val="1"/>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依托公共资源交易数据共享平台，加大公共资源配置领域信息公开力度，推动实现公共资源交易全流程透明化。</w:t>
      </w:r>
    </w:p>
    <w:p>
      <w:pPr>
        <w:numPr>
          <w:ilvl w:val="0"/>
          <w:numId w:val="0"/>
        </w:numPr>
        <w:bidi w:val="0"/>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67960" cy="2782570"/>
            <wp:effectExtent l="0" t="0" r="8890" b="17780"/>
            <wp:docPr id="14" name="图片 14" descr="公共资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公共资源"/>
                    <pic:cNvPicPr>
                      <a:picLocks noChangeAspect="1"/>
                    </pic:cNvPicPr>
                  </pic:nvPicPr>
                  <pic:blipFill>
                    <a:blip r:embed="rId14"/>
                    <a:stretch>
                      <a:fillRect/>
                    </a:stretch>
                  </pic:blipFill>
                  <pic:spPr>
                    <a:xfrm>
                      <a:off x="0" y="0"/>
                      <a:ext cx="5267960" cy="2782570"/>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sz w:val="32"/>
          <w:szCs w:val="32"/>
          <w:lang w:val="en-US" w:eastAsia="zh-CN"/>
        </w:rPr>
        <w:t>（3）做好社会公益事业建设领域信息公开工作。</w:t>
      </w:r>
      <w:r>
        <w:rPr>
          <w:rFonts w:hint="eastAsia" w:ascii="仿宋_GB2312" w:hAnsi="仿宋_GB2312" w:eastAsia="仿宋_GB2312" w:cs="仿宋_GB2312"/>
          <w:sz w:val="32"/>
          <w:szCs w:val="32"/>
          <w:lang w:val="en-US" w:eastAsia="zh-CN"/>
        </w:rPr>
        <w:t>坚持以人民为中心的发展思想，以切实保障基本民生、推动解决重点民生问题为着力点，围绕脱贫攻坚、</w:t>
      </w:r>
      <w:r>
        <w:rPr>
          <w:rFonts w:hint="default" w:ascii="仿宋_GB2312" w:hAnsi="仿宋_GB2312" w:eastAsia="仿宋_GB2312" w:cs="仿宋_GB2312"/>
          <w:sz w:val="32"/>
          <w:szCs w:val="32"/>
          <w:lang w:val="en-US" w:eastAsia="zh-CN"/>
        </w:rPr>
        <w:t>社会救助、</w:t>
      </w:r>
      <w:r>
        <w:rPr>
          <w:rFonts w:hint="eastAsia" w:ascii="仿宋_GB2312" w:hAnsi="仿宋_GB2312" w:eastAsia="仿宋_GB2312" w:cs="仿宋_GB2312"/>
          <w:sz w:val="32"/>
          <w:szCs w:val="32"/>
          <w:lang w:val="en-US" w:eastAsia="zh-CN"/>
        </w:rPr>
        <w:t>社会福利、</w:t>
      </w:r>
      <w:r>
        <w:rPr>
          <w:rFonts w:hint="default" w:ascii="仿宋_GB2312" w:hAnsi="仿宋_GB2312" w:eastAsia="仿宋_GB2312" w:cs="仿宋_GB2312"/>
          <w:sz w:val="32"/>
          <w:szCs w:val="32"/>
          <w:lang w:val="en-US" w:eastAsia="zh-CN"/>
        </w:rPr>
        <w:t>社会保险、就业创业、教育、医疗、公共文化体育、</w:t>
      </w:r>
      <w:r>
        <w:rPr>
          <w:rFonts w:hint="eastAsia" w:ascii="仿宋_GB2312" w:hAnsi="仿宋_GB2312" w:eastAsia="仿宋_GB2312" w:cs="仿宋_GB2312"/>
          <w:sz w:val="32"/>
          <w:szCs w:val="32"/>
          <w:lang w:val="en-US" w:eastAsia="zh-CN"/>
        </w:rPr>
        <w:t>市场监管、环境保护、</w:t>
      </w:r>
      <w:r>
        <w:rPr>
          <w:rFonts w:hint="default" w:ascii="仿宋_GB2312" w:hAnsi="仿宋_GB2312" w:eastAsia="仿宋_GB2312" w:cs="仿宋_GB2312"/>
          <w:sz w:val="32"/>
          <w:szCs w:val="32"/>
          <w:lang w:val="en-US" w:eastAsia="zh-CN"/>
        </w:rPr>
        <w:t>灾害事故救援等领域</w:t>
      </w:r>
      <w:r>
        <w:rPr>
          <w:rFonts w:hint="eastAsia" w:ascii="仿宋_GB2312" w:hAnsi="仿宋_GB2312" w:eastAsia="仿宋_GB2312" w:cs="仿宋_GB2312"/>
          <w:sz w:val="32"/>
          <w:szCs w:val="32"/>
          <w:lang w:val="en-US" w:eastAsia="zh-CN"/>
        </w:rPr>
        <w:t>做好信息公开工作，逐一开设专栏发布有关信息。其中，发布脱贫攻坚信息181条、社会救助信息153条、社会福利信息85条、社会保险信息39条、就业创业信息38条、教育信息49条、医疗卫生信息152条、公共文化体育信息42条、市场监管信息46条、环境保护信息802条、灾害事故救援信息36条。</w:t>
      </w:r>
    </w:p>
    <w:p>
      <w:pPr>
        <w:numPr>
          <w:ilvl w:val="0"/>
          <w:numId w:val="0"/>
        </w:numPr>
        <w:bidi w:val="0"/>
        <w:jc w:val="center"/>
        <w:rPr>
          <w:rFonts w:hint="eastAsia" w:ascii="仿宋_GB2312" w:hAnsi="仿宋_GB2312" w:eastAsia="仿宋_GB2312" w:cs="仿宋_GB2312"/>
          <w:sz w:val="32"/>
          <w:szCs w:val="32"/>
          <w:lang w:val="en-US" w:eastAsia="zh-CN"/>
        </w:rPr>
      </w:pPr>
      <w:r>
        <w:drawing>
          <wp:inline distT="0" distB="0" distL="114300" distR="114300">
            <wp:extent cx="5267325" cy="2369820"/>
            <wp:effectExtent l="4445" t="4445" r="5080" b="6985"/>
            <wp:docPr id="2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numPr>
          <w:ilvl w:val="0"/>
          <w:numId w:val="0"/>
        </w:num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8595" cy="3300095"/>
            <wp:effectExtent l="0" t="0" r="8255" b="14605"/>
            <wp:docPr id="19" name="图片 19" descr="社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社会1"/>
                    <pic:cNvPicPr>
                      <a:picLocks noChangeAspect="1"/>
                    </pic:cNvPicPr>
                  </pic:nvPicPr>
                  <pic:blipFill>
                    <a:blip r:embed="rId16"/>
                    <a:stretch>
                      <a:fillRect/>
                    </a:stretch>
                  </pic:blipFill>
                  <pic:spPr>
                    <a:xfrm>
                      <a:off x="0" y="0"/>
                      <a:ext cx="5268595" cy="3300095"/>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细化财政信息公开。围绕价格与收费、县级财政预决算、县直部门财政预决算、收支管理、政府债务、县级财政专项资金目录、预算绩效管理等方面深入推进财政信息公开、透明，全年共发布财政信息564条。</w:t>
      </w:r>
    </w:p>
    <w:p>
      <w:pPr>
        <w:numPr>
          <w:ilvl w:val="0"/>
          <w:numId w:val="0"/>
        </w:num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5420" cy="1852295"/>
            <wp:effectExtent l="0" t="0" r="11430" b="14605"/>
            <wp:docPr id="22" name="图片 22" descr="财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财政"/>
                    <pic:cNvPicPr>
                      <a:picLocks noChangeAspect="1"/>
                    </pic:cNvPicPr>
                  </pic:nvPicPr>
                  <pic:blipFill>
                    <a:blip r:embed="rId17"/>
                    <a:stretch>
                      <a:fillRect/>
                    </a:stretch>
                  </pic:blipFill>
                  <pic:spPr>
                    <a:xfrm>
                      <a:off x="0" y="0"/>
                      <a:ext cx="5265420" cy="1852295"/>
                    </a:xfrm>
                    <a:prstGeom prst="rect">
                      <a:avLst/>
                    </a:prstGeom>
                  </pic:spPr>
                </pic:pic>
              </a:graphicData>
            </a:graphic>
          </wp:inline>
        </w:drawing>
      </w:r>
    </w:p>
    <w:p>
      <w:pPr>
        <w:numPr>
          <w:ilvl w:val="0"/>
          <w:numId w:val="0"/>
        </w:numPr>
        <w:bidi w:val="0"/>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推进公共企事业单位信息公开。设立“公共企事业单位”专栏，围绕水电气热、教育、医疗、环保、公共交通等从事社会公益事业的公共企事业单位开展信息公开工作，全面公开基本概况、政策法规、办事信息等。重点做好教育、医疗领域信息公开，分学校逐一公开招生管理、财政预决算、经费管理、教学科研等信息；分医院逐一公开医疗服务、医院环境、行风建设等信息。全年共发布公共企事业单位信息51条。</w:t>
      </w:r>
    </w:p>
    <w:p>
      <w:pPr>
        <w:numPr>
          <w:ilvl w:val="0"/>
          <w:numId w:val="0"/>
        </w:numPr>
        <w:bidi w:val="0"/>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74310" cy="1821815"/>
            <wp:effectExtent l="0" t="0" r="2540" b="6985"/>
            <wp:docPr id="21" name="图片 21" descr="公共企事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公共企事业"/>
                    <pic:cNvPicPr>
                      <a:picLocks noChangeAspect="1"/>
                    </pic:cNvPicPr>
                  </pic:nvPicPr>
                  <pic:blipFill>
                    <a:blip r:embed="rId18"/>
                    <a:stretch>
                      <a:fillRect/>
                    </a:stretch>
                  </pic:blipFill>
                  <pic:spPr>
                    <a:xfrm>
                      <a:off x="0" y="0"/>
                      <a:ext cx="5274310" cy="1821815"/>
                    </a:xfrm>
                    <a:prstGeom prst="rect">
                      <a:avLst/>
                    </a:prstGeom>
                  </pic:spPr>
                </pic:pic>
              </a:graphicData>
            </a:graphic>
          </wp:inline>
        </w:drawing>
      </w:r>
    </w:p>
    <w:p>
      <w:pPr>
        <w:numPr>
          <w:ilvl w:val="0"/>
          <w:numId w:val="0"/>
        </w:numPr>
        <w:bidi w:val="0"/>
        <w:ind w:firstLine="640" w:firstLineChars="200"/>
        <w:jc w:val="both"/>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（二）依申请公开政府信息情况</w:t>
      </w:r>
    </w:p>
    <w:p>
      <w:pPr>
        <w:numPr>
          <w:ilvl w:val="0"/>
          <w:numId w:val="0"/>
        </w:numPr>
        <w:bidi w:val="0"/>
        <w:ind w:firstLine="640" w:firstLineChars="200"/>
        <w:jc w:val="both"/>
        <w:rPr>
          <w:rFonts w:hint="eastAsia" w:ascii="仿宋_GB2312" w:eastAsia="仿宋_GB2312"/>
          <w:sz w:val="32"/>
          <w:szCs w:val="32"/>
        </w:rPr>
      </w:pPr>
      <w:r>
        <w:rPr>
          <w:rFonts w:hint="eastAsia" w:ascii="仿宋_GB2312" w:eastAsia="仿宋_GB2312"/>
          <w:sz w:val="32"/>
          <w:szCs w:val="32"/>
        </w:rPr>
        <w:t>201</w:t>
      </w:r>
      <w:r>
        <w:rPr>
          <w:rFonts w:hint="eastAsia" w:ascii="仿宋_GB2312" w:eastAsia="仿宋_GB2312"/>
          <w:sz w:val="32"/>
          <w:szCs w:val="32"/>
          <w:lang w:val="en-US" w:eastAsia="zh-CN"/>
        </w:rPr>
        <w:t>9</w:t>
      </w:r>
      <w:r>
        <w:rPr>
          <w:rFonts w:hint="eastAsia" w:ascii="仿宋_GB2312" w:eastAsia="仿宋_GB2312"/>
          <w:sz w:val="32"/>
          <w:szCs w:val="32"/>
        </w:rPr>
        <w:t>年，我县认真贯彻实施</w:t>
      </w:r>
      <w:r>
        <w:rPr>
          <w:rFonts w:hint="eastAsia" w:ascii="仿宋_GB2312" w:eastAsia="仿宋_GB2312"/>
          <w:sz w:val="32"/>
          <w:szCs w:val="32"/>
          <w:lang w:eastAsia="zh-CN"/>
        </w:rPr>
        <w:t>新修订的</w:t>
      </w:r>
      <w:r>
        <w:rPr>
          <w:rFonts w:hint="eastAsia" w:ascii="仿宋_GB2312" w:eastAsia="仿宋_GB2312"/>
          <w:sz w:val="32"/>
          <w:szCs w:val="32"/>
        </w:rPr>
        <w:t>《政府信息公开条例》，切实加强政府信息</w:t>
      </w:r>
      <w:r>
        <w:rPr>
          <w:rFonts w:hint="eastAsia" w:ascii="仿宋_GB2312" w:eastAsia="仿宋_GB2312"/>
          <w:sz w:val="32"/>
          <w:szCs w:val="32"/>
          <w:lang w:eastAsia="zh-CN"/>
        </w:rPr>
        <w:t>依</w:t>
      </w:r>
      <w:r>
        <w:rPr>
          <w:rFonts w:hint="eastAsia" w:ascii="仿宋_GB2312" w:eastAsia="仿宋_GB2312"/>
          <w:sz w:val="32"/>
          <w:szCs w:val="32"/>
        </w:rPr>
        <w:t>申请公开工作。明确各级各部门责任，健全依申请公开制度，积极拓展公开形式，做好申请主体及内容审查工作，</w:t>
      </w:r>
      <w:r>
        <w:rPr>
          <w:rFonts w:ascii="仿宋_GB2312" w:eastAsia="仿宋_GB2312"/>
          <w:sz w:val="32"/>
          <w:szCs w:val="32"/>
        </w:rPr>
        <w:t>严把受理环节</w:t>
      </w:r>
      <w:r>
        <w:rPr>
          <w:rFonts w:hint="eastAsia" w:ascii="仿宋_GB2312" w:eastAsia="仿宋_GB2312"/>
          <w:sz w:val="32"/>
          <w:szCs w:val="32"/>
        </w:rPr>
        <w:t>、</w:t>
      </w:r>
      <w:r>
        <w:rPr>
          <w:rFonts w:ascii="仿宋_GB2312" w:eastAsia="仿宋_GB2312"/>
          <w:sz w:val="32"/>
          <w:szCs w:val="32"/>
        </w:rPr>
        <w:t>严把办理环节</w:t>
      </w:r>
      <w:r>
        <w:rPr>
          <w:rFonts w:hint="eastAsia" w:ascii="仿宋_GB2312" w:eastAsia="仿宋_GB2312"/>
          <w:sz w:val="32"/>
          <w:szCs w:val="32"/>
        </w:rPr>
        <w:t>、</w:t>
      </w:r>
      <w:r>
        <w:rPr>
          <w:rFonts w:ascii="仿宋_GB2312" w:eastAsia="仿宋_GB2312"/>
          <w:sz w:val="32"/>
          <w:szCs w:val="32"/>
        </w:rPr>
        <w:t>严把答复关</w:t>
      </w:r>
      <w:r>
        <w:rPr>
          <w:rFonts w:hint="eastAsia" w:ascii="仿宋_GB2312" w:eastAsia="仿宋_GB2312"/>
          <w:sz w:val="32"/>
          <w:szCs w:val="32"/>
        </w:rPr>
        <w:t>，认真</w:t>
      </w:r>
      <w:r>
        <w:rPr>
          <w:rFonts w:ascii="仿宋_GB2312" w:eastAsia="仿宋_GB2312"/>
          <w:sz w:val="32"/>
          <w:szCs w:val="32"/>
        </w:rPr>
        <w:t>做好相关信息资料的收集整理,做好与申请人的沟通联系,及时向申请人</w:t>
      </w:r>
      <w:r>
        <w:rPr>
          <w:rFonts w:hint="eastAsia" w:ascii="仿宋_GB2312" w:eastAsia="仿宋_GB2312"/>
          <w:sz w:val="32"/>
          <w:szCs w:val="32"/>
        </w:rPr>
        <w:t>按期进行</w:t>
      </w:r>
      <w:r>
        <w:rPr>
          <w:rFonts w:ascii="仿宋_GB2312" w:eastAsia="仿宋_GB2312"/>
          <w:sz w:val="32"/>
          <w:szCs w:val="32"/>
        </w:rPr>
        <w:t>回复</w:t>
      </w:r>
      <w:r>
        <w:rPr>
          <w:rFonts w:hint="eastAsia" w:ascii="仿宋_GB2312" w:eastAsia="仿宋_GB2312"/>
          <w:sz w:val="32"/>
          <w:szCs w:val="32"/>
        </w:rPr>
        <w:t>，</w:t>
      </w:r>
      <w:r>
        <w:rPr>
          <w:rFonts w:ascii="仿宋_GB2312" w:eastAsia="仿宋_GB2312"/>
          <w:sz w:val="32"/>
          <w:szCs w:val="32"/>
        </w:rPr>
        <w:t>确保依申请公开工作有序开展</w:t>
      </w:r>
      <w:r>
        <w:rPr>
          <w:rFonts w:hint="eastAsia" w:ascii="仿宋_GB2312" w:eastAsia="仿宋_GB2312"/>
          <w:sz w:val="32"/>
          <w:szCs w:val="32"/>
        </w:rPr>
        <w:t>。</w:t>
      </w:r>
    </w:p>
    <w:p>
      <w:pPr>
        <w:numPr>
          <w:ilvl w:val="0"/>
          <w:numId w:val="0"/>
        </w:numPr>
        <w:bidi w:val="0"/>
        <w:ind w:firstLine="640" w:firstLineChars="200"/>
        <w:jc w:val="both"/>
        <w:rPr>
          <w:rFonts w:hint="eastAsia" w:ascii="仿宋_GB2312" w:eastAsia="仿宋_GB2312"/>
          <w:color w:val="auto"/>
          <w:sz w:val="32"/>
          <w:szCs w:val="32"/>
          <w:lang w:val="en-US" w:eastAsia="zh-CN"/>
        </w:rPr>
      </w:pPr>
      <w:r>
        <w:rPr>
          <w:rFonts w:hint="eastAsia" w:ascii="仿宋_GB2312" w:eastAsia="仿宋_GB2312"/>
          <w:sz w:val="32"/>
          <w:szCs w:val="32"/>
        </w:rPr>
        <w:t>截至201</w:t>
      </w:r>
      <w:r>
        <w:rPr>
          <w:rFonts w:hint="eastAsia" w:ascii="仿宋_GB2312" w:eastAsia="仿宋_GB2312"/>
          <w:sz w:val="32"/>
          <w:szCs w:val="32"/>
          <w:lang w:val="en-US" w:eastAsia="zh-CN"/>
        </w:rPr>
        <w:t>9</w:t>
      </w:r>
      <w:r>
        <w:rPr>
          <w:rFonts w:hint="eastAsia" w:ascii="仿宋_GB2312" w:eastAsia="仿宋_GB2312"/>
          <w:sz w:val="32"/>
          <w:szCs w:val="32"/>
        </w:rPr>
        <w:t>年12月</w:t>
      </w:r>
      <w:r>
        <w:rPr>
          <w:rFonts w:hint="eastAsia" w:ascii="仿宋_GB2312" w:eastAsia="仿宋_GB2312"/>
          <w:sz w:val="32"/>
          <w:szCs w:val="32"/>
          <w:lang w:eastAsia="zh-CN"/>
        </w:rPr>
        <w:t>底</w:t>
      </w:r>
      <w:r>
        <w:rPr>
          <w:rFonts w:hint="eastAsia" w:ascii="仿宋_GB2312" w:eastAsia="仿宋_GB2312"/>
          <w:sz w:val="32"/>
          <w:szCs w:val="32"/>
        </w:rPr>
        <w:t>，</w:t>
      </w:r>
      <w:r>
        <w:rPr>
          <w:rFonts w:hint="eastAsia" w:ascii="仿宋_GB2312" w:eastAsia="仿宋_GB2312"/>
          <w:sz w:val="32"/>
          <w:szCs w:val="32"/>
          <w:lang w:eastAsia="zh-CN"/>
        </w:rPr>
        <w:t>全县共</w:t>
      </w:r>
      <w:r>
        <w:rPr>
          <w:rFonts w:hint="eastAsia" w:ascii="仿宋_GB2312" w:eastAsia="仿宋_GB2312"/>
          <w:sz w:val="32"/>
          <w:szCs w:val="32"/>
        </w:rPr>
        <w:t>受理</w:t>
      </w:r>
      <w:r>
        <w:rPr>
          <w:rFonts w:hint="eastAsia" w:ascii="仿宋_GB2312" w:eastAsia="仿宋_GB2312"/>
          <w:sz w:val="32"/>
          <w:szCs w:val="32"/>
          <w:lang w:eastAsia="zh-CN"/>
        </w:rPr>
        <w:t>政府信息</w:t>
      </w:r>
      <w:r>
        <w:rPr>
          <w:rFonts w:hint="eastAsia" w:ascii="仿宋_GB2312" w:eastAsia="仿宋_GB2312"/>
          <w:sz w:val="32"/>
          <w:szCs w:val="32"/>
        </w:rPr>
        <w:t>公开申请3</w:t>
      </w:r>
      <w:r>
        <w:rPr>
          <w:rFonts w:hint="eastAsia" w:ascii="仿宋_GB2312" w:eastAsia="仿宋_GB2312"/>
          <w:sz w:val="32"/>
          <w:szCs w:val="32"/>
          <w:lang w:val="en-US" w:eastAsia="zh-CN"/>
        </w:rPr>
        <w:t>5</w:t>
      </w:r>
      <w:r>
        <w:rPr>
          <w:rFonts w:hint="eastAsia" w:ascii="仿宋_GB2312" w:eastAsia="仿宋_GB2312"/>
          <w:sz w:val="32"/>
          <w:szCs w:val="32"/>
        </w:rPr>
        <w:t>件</w:t>
      </w:r>
      <w:r>
        <w:rPr>
          <w:rFonts w:hint="eastAsia" w:ascii="仿宋_GB2312" w:eastAsia="仿宋_GB2312"/>
          <w:sz w:val="32"/>
          <w:szCs w:val="32"/>
          <w:lang w:eastAsia="zh-CN"/>
        </w:rPr>
        <w:t>。其中，按申请人要求（邮寄、电子邮件）答复</w:t>
      </w:r>
      <w:r>
        <w:rPr>
          <w:rFonts w:hint="eastAsia" w:ascii="仿宋_GB2312" w:eastAsia="仿宋_GB2312"/>
          <w:sz w:val="32"/>
          <w:szCs w:val="32"/>
        </w:rPr>
        <w:t>3</w:t>
      </w:r>
      <w:r>
        <w:rPr>
          <w:rFonts w:hint="eastAsia" w:ascii="仿宋_GB2312" w:eastAsia="仿宋_GB2312"/>
          <w:sz w:val="32"/>
          <w:szCs w:val="32"/>
          <w:lang w:val="en-US" w:eastAsia="zh-CN"/>
        </w:rPr>
        <w:t>4</w:t>
      </w:r>
      <w:r>
        <w:rPr>
          <w:rFonts w:hint="eastAsia" w:ascii="仿宋_GB2312" w:eastAsia="仿宋_GB2312"/>
          <w:sz w:val="32"/>
          <w:szCs w:val="32"/>
        </w:rPr>
        <w:t>件，</w:t>
      </w:r>
      <w:r>
        <w:rPr>
          <w:rFonts w:hint="eastAsia" w:ascii="仿宋_GB2312" w:eastAsia="仿宋_GB2312"/>
          <w:sz w:val="32"/>
          <w:szCs w:val="32"/>
          <w:lang w:eastAsia="zh-CN"/>
        </w:rPr>
        <w:t>结转下年度继续办理</w:t>
      </w:r>
      <w:r>
        <w:rPr>
          <w:rFonts w:hint="eastAsia" w:ascii="仿宋_GB2312" w:eastAsia="仿宋_GB2312"/>
          <w:sz w:val="32"/>
          <w:szCs w:val="32"/>
          <w:lang w:val="en-US" w:eastAsia="zh-CN"/>
        </w:rPr>
        <w:t>1件；</w:t>
      </w:r>
      <w:r>
        <w:rPr>
          <w:rFonts w:hint="eastAsia" w:ascii="仿宋_GB2312" w:eastAsia="仿宋_GB2312"/>
          <w:color w:val="auto"/>
          <w:sz w:val="32"/>
          <w:szCs w:val="32"/>
          <w:lang w:eastAsia="zh-CN"/>
        </w:rPr>
        <w:t>公民申请</w:t>
      </w:r>
      <w:r>
        <w:rPr>
          <w:rFonts w:hint="eastAsia" w:ascii="仿宋_GB2312" w:eastAsia="仿宋_GB2312"/>
          <w:color w:val="auto"/>
          <w:sz w:val="32"/>
          <w:szCs w:val="32"/>
          <w:lang w:val="en-US" w:eastAsia="zh-CN"/>
        </w:rPr>
        <w:t>34件</w:t>
      </w:r>
      <w:r>
        <w:rPr>
          <w:rFonts w:hint="eastAsia" w:ascii="仿宋_GB2312" w:eastAsia="仿宋_GB2312"/>
          <w:color w:val="auto"/>
          <w:sz w:val="32"/>
          <w:szCs w:val="32"/>
          <w:lang w:eastAsia="zh-CN"/>
        </w:rPr>
        <w:t>，商业企业申请</w:t>
      </w:r>
      <w:r>
        <w:rPr>
          <w:rFonts w:hint="eastAsia" w:ascii="仿宋_GB2312" w:eastAsia="仿宋_GB2312"/>
          <w:color w:val="auto"/>
          <w:sz w:val="32"/>
          <w:szCs w:val="32"/>
          <w:lang w:val="en-US" w:eastAsia="zh-CN"/>
        </w:rPr>
        <w:t>1件；网上申请20件、信函申请15件；征地拆迁、占地补偿安置类政府信息公开申请11件，占比最高；予以公开16件，不属于本行政机关公开16件，重复申请1件，不予公开1件（涉及第三方商业秘密）。</w:t>
      </w:r>
    </w:p>
    <w:p>
      <w:pPr>
        <w:numPr>
          <w:ilvl w:val="0"/>
          <w:numId w:val="0"/>
        </w:numPr>
        <w:bidi w:val="0"/>
        <w:jc w:val="center"/>
        <w:rPr>
          <w:rFonts w:hint="eastAsia" w:ascii="楷体_GB2312" w:hAnsi="楷体_GB2312" w:eastAsia="楷体_GB2312" w:cs="楷体_GB2312"/>
          <w:color w:val="auto"/>
          <w:sz w:val="32"/>
          <w:szCs w:val="32"/>
          <w:lang w:val="en-US" w:eastAsia="zh-CN"/>
        </w:rPr>
      </w:pPr>
      <w:r>
        <w:drawing>
          <wp:inline distT="0" distB="0" distL="114300" distR="114300">
            <wp:extent cx="4572000" cy="2743200"/>
            <wp:effectExtent l="4445" t="4445" r="14605" b="14605"/>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numPr>
          <w:ilvl w:val="0"/>
          <w:numId w:val="0"/>
        </w:numPr>
        <w:bidi w:val="0"/>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（三）政府信息管理情况</w:t>
      </w:r>
    </w:p>
    <w:p>
      <w:pPr>
        <w:numPr>
          <w:ilvl w:val="0"/>
          <w:numId w:val="0"/>
        </w:numPr>
        <w:bidi w:val="0"/>
        <w:ind w:firstLine="640" w:firstLineChars="200"/>
        <w:jc w:val="both"/>
        <w:rPr>
          <w:rFonts w:hint="default" w:ascii="仿宋_GB2312" w:eastAsia="仿宋_GB2312"/>
          <w:color w:val="auto"/>
          <w:sz w:val="32"/>
          <w:szCs w:val="32"/>
          <w:lang w:val="en-US" w:eastAsia="zh-CN"/>
        </w:rPr>
      </w:pPr>
      <w:r>
        <w:rPr>
          <w:rFonts w:hint="eastAsia" w:ascii="仿宋_GB2312" w:eastAsia="仿宋_GB2312"/>
          <w:color w:val="auto"/>
          <w:sz w:val="32"/>
          <w:szCs w:val="32"/>
          <w:lang w:val="en-US" w:eastAsia="zh-CN"/>
        </w:rPr>
        <w:t>组织全县各级各部门认真</w:t>
      </w:r>
      <w:r>
        <w:rPr>
          <w:rFonts w:hint="default" w:ascii="仿宋_GB2312" w:eastAsia="仿宋_GB2312"/>
          <w:color w:val="auto"/>
          <w:sz w:val="32"/>
          <w:szCs w:val="32"/>
          <w:lang w:val="en-US" w:eastAsia="zh-CN"/>
        </w:rPr>
        <w:t>学习新修订的《中华人民共和国政府信息公开条例》，加强对新条例的解读和宣传，</w:t>
      </w:r>
      <w:r>
        <w:rPr>
          <w:rFonts w:hint="eastAsia" w:ascii="仿宋_GB2312" w:eastAsia="仿宋_GB2312"/>
          <w:color w:val="auto"/>
          <w:sz w:val="32"/>
          <w:szCs w:val="32"/>
          <w:lang w:val="en-US" w:eastAsia="zh-CN"/>
        </w:rPr>
        <w:t>多次</w:t>
      </w:r>
      <w:r>
        <w:rPr>
          <w:rFonts w:hint="default" w:ascii="仿宋_GB2312" w:eastAsia="仿宋_GB2312"/>
          <w:color w:val="auto"/>
          <w:sz w:val="32"/>
          <w:szCs w:val="32"/>
          <w:lang w:val="en-US" w:eastAsia="zh-CN"/>
        </w:rPr>
        <w:t>开展普法活动</w:t>
      </w:r>
      <w:r>
        <w:rPr>
          <w:rFonts w:hint="eastAsia" w:ascii="仿宋_GB2312" w:eastAsia="仿宋_GB2312"/>
          <w:color w:val="auto"/>
          <w:sz w:val="32"/>
          <w:szCs w:val="32"/>
          <w:lang w:val="en-US" w:eastAsia="zh-CN"/>
        </w:rPr>
        <w:t>，形式多样、效果显著</w:t>
      </w:r>
      <w:r>
        <w:rPr>
          <w:rFonts w:hint="default" w:ascii="仿宋_GB2312" w:eastAsia="仿宋_GB2312"/>
          <w:color w:val="auto"/>
          <w:sz w:val="32"/>
          <w:szCs w:val="32"/>
          <w:lang w:val="en-US" w:eastAsia="zh-CN"/>
        </w:rPr>
        <w:t>。</w:t>
      </w:r>
      <w:r>
        <w:rPr>
          <w:rFonts w:hint="eastAsia" w:ascii="仿宋_GB2312" w:eastAsia="仿宋_GB2312"/>
          <w:color w:val="auto"/>
          <w:sz w:val="32"/>
          <w:szCs w:val="32"/>
          <w:lang w:val="en-US" w:eastAsia="zh-CN"/>
        </w:rPr>
        <w:t>对</w:t>
      </w:r>
      <w:r>
        <w:rPr>
          <w:rFonts w:hint="default" w:ascii="仿宋_GB2312" w:eastAsia="仿宋_GB2312"/>
          <w:color w:val="auto"/>
          <w:sz w:val="32"/>
          <w:szCs w:val="32"/>
          <w:lang w:val="en-US" w:eastAsia="zh-CN"/>
        </w:rPr>
        <w:t>相关配套措施</w:t>
      </w:r>
      <w:r>
        <w:rPr>
          <w:rFonts w:hint="eastAsia" w:ascii="仿宋_GB2312" w:eastAsia="仿宋_GB2312"/>
          <w:color w:val="auto"/>
          <w:sz w:val="32"/>
          <w:szCs w:val="32"/>
          <w:lang w:val="en-US" w:eastAsia="zh-CN"/>
        </w:rPr>
        <w:t>进行</w:t>
      </w:r>
      <w:r>
        <w:rPr>
          <w:rFonts w:hint="default" w:ascii="仿宋_GB2312" w:eastAsia="仿宋_GB2312"/>
          <w:color w:val="auto"/>
          <w:sz w:val="32"/>
          <w:szCs w:val="32"/>
          <w:lang w:val="en-US" w:eastAsia="zh-CN"/>
        </w:rPr>
        <w:t>修订完善，</w:t>
      </w:r>
      <w:r>
        <w:rPr>
          <w:rFonts w:hint="eastAsia" w:ascii="仿宋_GB2312" w:eastAsia="仿宋_GB2312"/>
          <w:color w:val="auto"/>
          <w:sz w:val="32"/>
          <w:szCs w:val="32"/>
          <w:lang w:val="en-US" w:eastAsia="zh-CN"/>
        </w:rPr>
        <w:t>实现了</w:t>
      </w:r>
      <w:r>
        <w:rPr>
          <w:rFonts w:hint="default" w:ascii="仿宋_GB2312" w:eastAsia="仿宋_GB2312"/>
          <w:color w:val="auto"/>
          <w:sz w:val="32"/>
          <w:szCs w:val="32"/>
          <w:lang w:val="en-US" w:eastAsia="zh-CN"/>
        </w:rPr>
        <w:t>有序衔接、平稳过渡。加大主动公开力度，做到</w:t>
      </w:r>
      <w:r>
        <w:rPr>
          <w:rFonts w:hint="eastAsia" w:ascii="仿宋_GB2312" w:eastAsia="仿宋_GB2312"/>
          <w:color w:val="auto"/>
          <w:sz w:val="32"/>
          <w:szCs w:val="32"/>
          <w:lang w:val="en-US" w:eastAsia="zh-CN"/>
        </w:rPr>
        <w:t>“</w:t>
      </w:r>
      <w:r>
        <w:rPr>
          <w:rFonts w:hint="default" w:ascii="仿宋_GB2312" w:eastAsia="仿宋_GB2312"/>
          <w:color w:val="auto"/>
          <w:sz w:val="32"/>
          <w:szCs w:val="32"/>
          <w:lang w:val="en-US" w:eastAsia="zh-CN"/>
        </w:rPr>
        <w:t>应公开</w:t>
      </w:r>
      <w:r>
        <w:rPr>
          <w:rFonts w:hint="eastAsia" w:ascii="仿宋_GB2312" w:eastAsia="仿宋_GB2312"/>
          <w:color w:val="auto"/>
          <w:sz w:val="32"/>
          <w:szCs w:val="32"/>
          <w:lang w:val="en-US" w:eastAsia="zh-CN"/>
        </w:rPr>
        <w:t>、</w:t>
      </w:r>
      <w:r>
        <w:rPr>
          <w:rFonts w:hint="default" w:ascii="仿宋_GB2312" w:eastAsia="仿宋_GB2312"/>
          <w:color w:val="auto"/>
          <w:sz w:val="32"/>
          <w:szCs w:val="32"/>
          <w:lang w:val="en-US" w:eastAsia="zh-CN"/>
        </w:rPr>
        <w:t>尽公开</w:t>
      </w:r>
      <w:r>
        <w:rPr>
          <w:rFonts w:hint="eastAsia" w:ascii="仿宋_GB2312" w:eastAsia="仿宋_GB2312"/>
          <w:color w:val="auto"/>
          <w:sz w:val="32"/>
          <w:szCs w:val="32"/>
          <w:lang w:val="en-US" w:eastAsia="zh-CN"/>
        </w:rPr>
        <w:t>”</w:t>
      </w:r>
      <w:r>
        <w:rPr>
          <w:rFonts w:hint="default" w:ascii="仿宋_GB2312" w:eastAsia="仿宋_GB2312"/>
          <w:color w:val="auto"/>
          <w:sz w:val="32"/>
          <w:szCs w:val="32"/>
          <w:lang w:val="en-US" w:eastAsia="zh-CN"/>
        </w:rPr>
        <w:t>，各级</w:t>
      </w:r>
      <w:r>
        <w:rPr>
          <w:rFonts w:hint="eastAsia" w:ascii="仿宋_GB2312" w:eastAsia="仿宋_GB2312"/>
          <w:color w:val="auto"/>
          <w:sz w:val="32"/>
          <w:szCs w:val="32"/>
          <w:lang w:val="en-US" w:eastAsia="zh-CN"/>
        </w:rPr>
        <w:t>各</w:t>
      </w:r>
      <w:r>
        <w:rPr>
          <w:rFonts w:hint="default" w:ascii="仿宋_GB2312" w:eastAsia="仿宋_GB2312"/>
          <w:color w:val="auto"/>
          <w:sz w:val="32"/>
          <w:szCs w:val="32"/>
          <w:lang w:val="en-US" w:eastAsia="zh-CN"/>
        </w:rPr>
        <w:t>部门在符合保密要求的前提下，依法</w:t>
      </w:r>
      <w:r>
        <w:rPr>
          <w:rFonts w:hint="eastAsia" w:ascii="仿宋_GB2312" w:eastAsia="仿宋_GB2312"/>
          <w:color w:val="auto"/>
          <w:sz w:val="32"/>
          <w:szCs w:val="32"/>
          <w:lang w:val="en-US" w:eastAsia="zh-CN"/>
        </w:rPr>
        <w:t>对</w:t>
      </w:r>
      <w:r>
        <w:rPr>
          <w:rFonts w:hint="default" w:ascii="仿宋_GB2312" w:eastAsia="仿宋_GB2312"/>
          <w:color w:val="auto"/>
          <w:sz w:val="32"/>
          <w:szCs w:val="32"/>
          <w:lang w:val="en-US" w:eastAsia="zh-CN"/>
        </w:rPr>
        <w:t>本机关</w:t>
      </w:r>
      <w:r>
        <w:rPr>
          <w:rFonts w:hint="eastAsia" w:ascii="仿宋_GB2312" w:eastAsia="仿宋_GB2312"/>
          <w:color w:val="auto"/>
          <w:sz w:val="32"/>
          <w:szCs w:val="32"/>
          <w:lang w:val="en-US" w:eastAsia="zh-CN"/>
        </w:rPr>
        <w:t>“三定”</w:t>
      </w:r>
      <w:r>
        <w:rPr>
          <w:rFonts w:hint="default" w:ascii="仿宋_GB2312" w:eastAsia="仿宋_GB2312"/>
          <w:color w:val="auto"/>
          <w:sz w:val="32"/>
          <w:szCs w:val="32"/>
          <w:lang w:val="en-US" w:eastAsia="zh-CN"/>
        </w:rPr>
        <w:t>规定等信息</w:t>
      </w:r>
      <w:r>
        <w:rPr>
          <w:rFonts w:hint="eastAsia" w:ascii="仿宋_GB2312" w:eastAsia="仿宋_GB2312"/>
          <w:color w:val="auto"/>
          <w:sz w:val="32"/>
          <w:szCs w:val="32"/>
          <w:lang w:val="en-US" w:eastAsia="zh-CN"/>
        </w:rPr>
        <w:t>进行了公开</w:t>
      </w:r>
      <w:r>
        <w:rPr>
          <w:rFonts w:hint="default" w:ascii="仿宋_GB2312" w:eastAsia="仿宋_GB2312"/>
          <w:color w:val="auto"/>
          <w:sz w:val="32"/>
          <w:szCs w:val="32"/>
          <w:lang w:val="en-US" w:eastAsia="zh-CN"/>
        </w:rPr>
        <w:t>，及时制定更新主动公开基本目录、指南等，依法保障公众获取政府信息的权利。</w:t>
      </w:r>
    </w:p>
    <w:p>
      <w:pPr>
        <w:numPr>
          <w:ilvl w:val="0"/>
          <w:numId w:val="0"/>
        </w:numPr>
        <w:bidi w:val="0"/>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（四）公开平台建设情况</w:t>
      </w:r>
    </w:p>
    <w:p>
      <w:pPr>
        <w:numPr>
          <w:ilvl w:val="0"/>
          <w:numId w:val="0"/>
        </w:numPr>
        <w:bidi w:val="0"/>
        <w:ind w:firstLine="643" w:firstLineChars="200"/>
        <w:jc w:val="both"/>
        <w:rPr>
          <w:rFonts w:hint="eastAsia"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1.推进政府网站优质发展。</w:t>
      </w:r>
      <w:r>
        <w:rPr>
          <w:rFonts w:hint="eastAsia" w:ascii="仿宋_GB2312" w:eastAsia="仿宋_GB2312"/>
          <w:color w:val="auto"/>
          <w:sz w:val="32"/>
          <w:szCs w:val="32"/>
          <w:lang w:val="en-US" w:eastAsia="zh-CN"/>
        </w:rPr>
        <w:t>商河县人民政府门户网站是全县政务公开“主阵地”，开设了“政务公开”专栏，下设“行政权力运行公开”、“重点领域信息公开”、“依申请公开”、“政策解读及回应关切”、“政务公开保障机制”5个一级栏目，500余个子栏目，覆盖政府行政行为的各个方面。栏目实行动态调整机制，由相关职能部门依据“三定”方案及政务公开考核方案提出调整需求，县政府办公室审定后予以调整。</w:t>
      </w:r>
    </w:p>
    <w:p>
      <w:pPr>
        <w:numPr>
          <w:ilvl w:val="0"/>
          <w:numId w:val="0"/>
        </w:numPr>
        <w:bidi w:val="0"/>
        <w:ind w:firstLine="643" w:firstLineChars="200"/>
        <w:jc w:val="both"/>
        <w:rPr>
          <w:rFonts w:hint="eastAsia"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2.推进政务新媒体融合发展。</w:t>
      </w:r>
      <w:r>
        <w:rPr>
          <w:rFonts w:hint="eastAsia" w:ascii="仿宋_GB2312" w:eastAsia="仿宋_GB2312"/>
          <w:color w:val="auto"/>
          <w:sz w:val="32"/>
          <w:szCs w:val="32"/>
          <w:lang w:val="en-US" w:eastAsia="zh-CN"/>
        </w:rPr>
        <w:t>以官方微博“商河发布”、官方微信公众号“商河县人民政府办公室”作为全县政务公开辅助平台，及时发布群众反映强烈的重点、难点、热点信息，统筹推进政务新媒体与政府网站协同联动、融合发展，提升信息发布、解读回应、政民互动、办事服务整体水平。</w:t>
      </w:r>
    </w:p>
    <w:p>
      <w:pPr>
        <w:numPr>
          <w:ilvl w:val="0"/>
          <w:numId w:val="0"/>
        </w:numPr>
        <w:bidi w:val="0"/>
        <w:jc w:val="center"/>
        <w:rPr>
          <w:rFonts w:hint="eastAsia" w:ascii="仿宋_GB2312" w:eastAsia="仿宋_GB2312"/>
          <w:color w:val="auto"/>
          <w:sz w:val="32"/>
          <w:szCs w:val="32"/>
          <w:lang w:val="en-US" w:eastAsia="zh-CN"/>
        </w:rPr>
      </w:pPr>
      <w:r>
        <w:rPr>
          <w:rFonts w:hint="eastAsia" w:ascii="仿宋_GB2312" w:eastAsia="仿宋_GB2312"/>
          <w:color w:val="auto"/>
          <w:sz w:val="32"/>
          <w:szCs w:val="32"/>
          <w:lang w:val="en-US" w:eastAsia="zh-CN"/>
        </w:rPr>
        <w:drawing>
          <wp:inline distT="0" distB="0" distL="114300" distR="114300">
            <wp:extent cx="2167255" cy="3642995"/>
            <wp:effectExtent l="0" t="0" r="4445" b="14605"/>
            <wp:docPr id="25" name="图片 25" descr="f97c838e30019fdc2f6bf3b2e15e6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f97c838e30019fdc2f6bf3b2e15e62e"/>
                    <pic:cNvPicPr>
                      <a:picLocks noChangeAspect="1"/>
                    </pic:cNvPicPr>
                  </pic:nvPicPr>
                  <pic:blipFill>
                    <a:blip r:embed="rId20"/>
                    <a:stretch>
                      <a:fillRect/>
                    </a:stretch>
                  </pic:blipFill>
                  <pic:spPr>
                    <a:xfrm>
                      <a:off x="0" y="0"/>
                      <a:ext cx="2167255" cy="3642995"/>
                    </a:xfrm>
                    <a:prstGeom prst="rect">
                      <a:avLst/>
                    </a:prstGeom>
                  </pic:spPr>
                </pic:pic>
              </a:graphicData>
            </a:graphic>
          </wp:inline>
        </w:drawing>
      </w:r>
      <w:r>
        <w:rPr>
          <w:rFonts w:hint="eastAsia" w:ascii="仿宋_GB2312" w:eastAsia="仿宋_GB2312"/>
          <w:color w:val="auto"/>
          <w:sz w:val="32"/>
          <w:szCs w:val="32"/>
          <w:lang w:val="en-US" w:eastAsia="zh-CN"/>
        </w:rPr>
        <w:t xml:space="preserve"> </w:t>
      </w:r>
      <w:r>
        <w:rPr>
          <w:rFonts w:hint="eastAsia" w:ascii="仿宋_GB2312" w:eastAsia="仿宋_GB2312"/>
          <w:color w:val="auto"/>
          <w:sz w:val="32"/>
          <w:szCs w:val="32"/>
          <w:lang w:val="en-US" w:eastAsia="zh-CN"/>
        </w:rPr>
        <w:drawing>
          <wp:inline distT="0" distB="0" distL="114300" distR="114300">
            <wp:extent cx="2137410" cy="3639185"/>
            <wp:effectExtent l="0" t="0" r="15240" b="18415"/>
            <wp:docPr id="26" name="图片 26" descr="470f2dcc918a6bccaa661e614b2f96b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70f2dcc918a6bccaa661e614b2f96b_副本"/>
                    <pic:cNvPicPr>
                      <a:picLocks noChangeAspect="1"/>
                    </pic:cNvPicPr>
                  </pic:nvPicPr>
                  <pic:blipFill>
                    <a:blip r:embed="rId21"/>
                    <a:stretch>
                      <a:fillRect/>
                    </a:stretch>
                  </pic:blipFill>
                  <pic:spPr>
                    <a:xfrm>
                      <a:off x="0" y="0"/>
                      <a:ext cx="2137410" cy="3639185"/>
                    </a:xfrm>
                    <a:prstGeom prst="rect">
                      <a:avLst/>
                    </a:prstGeom>
                  </pic:spPr>
                </pic:pic>
              </a:graphicData>
            </a:graphic>
          </wp:inline>
        </w:drawing>
      </w:r>
    </w:p>
    <w:p>
      <w:pPr>
        <w:numPr>
          <w:ilvl w:val="0"/>
          <w:numId w:val="0"/>
        </w:numPr>
        <w:bidi w:val="0"/>
        <w:ind w:firstLine="643" w:firstLineChars="200"/>
        <w:jc w:val="both"/>
        <w:rPr>
          <w:rFonts w:hint="eastAsia"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3.推进政府公报有序发展。</w:t>
      </w:r>
      <w:r>
        <w:rPr>
          <w:rFonts w:hint="eastAsia" w:ascii="仿宋_GB2312" w:eastAsia="仿宋_GB2312"/>
          <w:color w:val="auto"/>
          <w:sz w:val="32"/>
          <w:szCs w:val="32"/>
          <w:lang w:val="en-US" w:eastAsia="zh-CN"/>
        </w:rPr>
        <w:t>开设“县政府公报”专栏，半年发布一期政府公报，统一刊登本级政府主动公开文件，建成政府公报网上数据库，做到历史公报入库管理，并实现向社会有序开放。</w:t>
      </w:r>
    </w:p>
    <w:p>
      <w:pPr>
        <w:numPr>
          <w:ilvl w:val="0"/>
          <w:numId w:val="0"/>
        </w:numPr>
        <w:bidi w:val="0"/>
        <w:jc w:val="center"/>
        <w:rPr>
          <w:rFonts w:hint="default" w:ascii="仿宋_GB2312" w:eastAsia="仿宋_GB2312"/>
          <w:color w:val="auto"/>
          <w:sz w:val="32"/>
          <w:szCs w:val="32"/>
          <w:lang w:val="en-US" w:eastAsia="zh-CN"/>
        </w:rPr>
      </w:pPr>
      <w:r>
        <w:rPr>
          <w:rFonts w:hint="default" w:ascii="仿宋_GB2312" w:eastAsia="仿宋_GB2312"/>
          <w:color w:val="auto"/>
          <w:sz w:val="32"/>
          <w:szCs w:val="32"/>
          <w:lang w:val="en-US" w:eastAsia="zh-CN"/>
        </w:rPr>
        <w:drawing>
          <wp:inline distT="0" distB="0" distL="114300" distR="114300">
            <wp:extent cx="4835525" cy="2943225"/>
            <wp:effectExtent l="0" t="0" r="3175" b="9525"/>
            <wp:docPr id="24" name="图片 24" descr="公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公报"/>
                    <pic:cNvPicPr>
                      <a:picLocks noChangeAspect="1"/>
                    </pic:cNvPicPr>
                  </pic:nvPicPr>
                  <pic:blipFill>
                    <a:blip r:embed="rId22"/>
                    <a:stretch>
                      <a:fillRect/>
                    </a:stretch>
                  </pic:blipFill>
                  <pic:spPr>
                    <a:xfrm>
                      <a:off x="0" y="0"/>
                      <a:ext cx="4835525" cy="2943225"/>
                    </a:xfrm>
                    <a:prstGeom prst="rect">
                      <a:avLst/>
                    </a:prstGeom>
                  </pic:spPr>
                </pic:pic>
              </a:graphicData>
            </a:graphic>
          </wp:inline>
        </w:drawing>
      </w:r>
    </w:p>
    <w:p>
      <w:pPr>
        <w:numPr>
          <w:ilvl w:val="0"/>
          <w:numId w:val="0"/>
        </w:numPr>
        <w:bidi w:val="0"/>
        <w:ind w:firstLine="640" w:firstLineChars="200"/>
        <w:jc w:val="both"/>
        <w:rPr>
          <w:rFonts w:hint="eastAsia" w:ascii="楷体_GB2312" w:hAnsi="楷体_GB2312" w:eastAsia="楷体_GB2312" w:cs="楷体_GB2312"/>
          <w:color w:val="auto"/>
          <w:sz w:val="32"/>
          <w:szCs w:val="32"/>
          <w:lang w:val="en-US" w:eastAsia="zh-CN"/>
        </w:rPr>
      </w:pPr>
      <w:r>
        <w:rPr>
          <w:rFonts w:hint="eastAsia" w:ascii="楷体_GB2312" w:hAnsi="楷体_GB2312" w:eastAsia="楷体_GB2312" w:cs="楷体_GB2312"/>
          <w:color w:val="auto"/>
          <w:sz w:val="32"/>
          <w:szCs w:val="32"/>
          <w:lang w:val="en-US" w:eastAsia="zh-CN"/>
        </w:rPr>
        <w:t>（五）监督保障情况</w:t>
      </w:r>
    </w:p>
    <w:p>
      <w:pPr>
        <w:numPr>
          <w:ilvl w:val="0"/>
          <w:numId w:val="0"/>
        </w:numPr>
        <w:bidi w:val="0"/>
        <w:ind w:firstLine="643" w:firstLineChars="200"/>
        <w:jc w:val="both"/>
        <w:rPr>
          <w:rFonts w:hint="default" w:ascii="仿宋_GB2312" w:eastAsia="仿宋_GB2312"/>
          <w:color w:val="auto"/>
          <w:sz w:val="32"/>
          <w:szCs w:val="32"/>
          <w:lang w:val="en-US" w:eastAsia="zh-CN"/>
        </w:rPr>
      </w:pPr>
      <w:r>
        <w:rPr>
          <w:rFonts w:hint="default" w:ascii="仿宋_GB2312" w:eastAsia="仿宋_GB2312"/>
          <w:b/>
          <w:bCs/>
          <w:color w:val="auto"/>
          <w:sz w:val="32"/>
          <w:szCs w:val="32"/>
          <w:lang w:val="en-US" w:eastAsia="zh-CN"/>
        </w:rPr>
        <w:t>1.完善联系人机制。</w:t>
      </w:r>
      <w:r>
        <w:rPr>
          <w:rFonts w:hint="default" w:ascii="仿宋_GB2312" w:eastAsia="仿宋_GB2312"/>
          <w:color w:val="auto"/>
          <w:sz w:val="32"/>
          <w:szCs w:val="32"/>
          <w:lang w:val="en-US" w:eastAsia="zh-CN"/>
        </w:rPr>
        <w:t>制发《商河县人民政府办公室关于报送大数据、政务公开及网站维护联系人信息的通知》，将政务公开各责任单位的联系人信息汇总成《商河县政务公开通讯录》，建立起政务公开联系人机制，做到点对点安排部署，提高工作效率。</w:t>
      </w:r>
    </w:p>
    <w:p>
      <w:pPr>
        <w:numPr>
          <w:ilvl w:val="0"/>
          <w:numId w:val="0"/>
        </w:numPr>
        <w:bidi w:val="0"/>
        <w:ind w:firstLine="643" w:firstLineChars="200"/>
        <w:jc w:val="both"/>
        <w:rPr>
          <w:rFonts w:hint="default" w:ascii="仿宋_GB2312" w:eastAsia="仿宋_GB2312"/>
          <w:color w:val="auto"/>
          <w:sz w:val="32"/>
          <w:szCs w:val="32"/>
          <w:lang w:val="en-US" w:eastAsia="zh-CN"/>
        </w:rPr>
      </w:pPr>
      <w:r>
        <w:rPr>
          <w:rFonts w:hint="default" w:ascii="仿宋_GB2312" w:eastAsia="仿宋_GB2312"/>
          <w:b/>
          <w:bCs/>
          <w:color w:val="auto"/>
          <w:sz w:val="32"/>
          <w:szCs w:val="32"/>
          <w:lang w:val="en-US" w:eastAsia="zh-CN"/>
        </w:rPr>
        <w:t>2.明确考核任务分工。</w:t>
      </w:r>
      <w:r>
        <w:rPr>
          <w:rFonts w:hint="default" w:ascii="仿宋_GB2312" w:eastAsia="仿宋_GB2312"/>
          <w:color w:val="auto"/>
          <w:sz w:val="32"/>
          <w:szCs w:val="32"/>
          <w:lang w:val="en-US" w:eastAsia="zh-CN"/>
        </w:rPr>
        <w:t>制发《商河县人民政府办公室关于进一步加强2019年政务公开考核的通知》及《2019年商河县政务公开工作要点》，明确年度政务公开工作任务、分工，采取半月一调度、一月一通报、半年一考核、年终出结果的方式调动政务公开各责任单位的积极性。同时，不定期针对网站政务公开存在的问题进行抽查，发现问题的直接约谈相关单位分管负责人及具体工作人员，面对面查摆问题，做好整改。</w:t>
      </w:r>
    </w:p>
    <w:p>
      <w:pPr>
        <w:numPr>
          <w:ilvl w:val="0"/>
          <w:numId w:val="0"/>
        </w:numPr>
        <w:bidi w:val="0"/>
        <w:ind w:firstLine="643" w:firstLineChars="200"/>
        <w:jc w:val="both"/>
        <w:rPr>
          <w:rFonts w:hint="default" w:ascii="仿宋_GB2312" w:eastAsia="仿宋_GB2312"/>
          <w:color w:val="auto"/>
          <w:sz w:val="32"/>
          <w:szCs w:val="32"/>
          <w:lang w:val="en-US" w:eastAsia="zh-CN"/>
        </w:rPr>
      </w:pPr>
      <w:r>
        <w:rPr>
          <w:rFonts w:hint="eastAsia" w:ascii="仿宋_GB2312" w:eastAsia="仿宋_GB2312"/>
          <w:b/>
          <w:bCs/>
          <w:color w:val="auto"/>
          <w:sz w:val="32"/>
          <w:szCs w:val="32"/>
          <w:lang w:val="en-US" w:eastAsia="zh-CN"/>
        </w:rPr>
        <w:t>3.</w:t>
      </w:r>
      <w:r>
        <w:rPr>
          <w:rFonts w:hint="default" w:ascii="仿宋_GB2312" w:eastAsia="仿宋_GB2312"/>
          <w:b/>
          <w:bCs/>
          <w:color w:val="auto"/>
          <w:sz w:val="32"/>
          <w:szCs w:val="32"/>
          <w:lang w:val="en-US" w:eastAsia="zh-CN"/>
        </w:rPr>
        <w:t>开展相关培训，提升业务能力</w:t>
      </w:r>
      <w:r>
        <w:rPr>
          <w:rFonts w:hint="eastAsia" w:ascii="仿宋_GB2312" w:eastAsia="仿宋_GB2312"/>
          <w:b/>
          <w:bCs/>
          <w:color w:val="auto"/>
          <w:sz w:val="32"/>
          <w:szCs w:val="32"/>
          <w:lang w:val="en-US" w:eastAsia="zh-CN"/>
        </w:rPr>
        <w:t>。</w:t>
      </w:r>
      <w:r>
        <w:rPr>
          <w:rFonts w:hint="default" w:ascii="仿宋_GB2312" w:eastAsia="仿宋_GB2312"/>
          <w:color w:val="auto"/>
          <w:sz w:val="32"/>
          <w:szCs w:val="32"/>
          <w:lang w:val="en-US" w:eastAsia="zh-CN"/>
        </w:rPr>
        <w:t>通过对全县各镇（街道）、县直各部门分管负责同志及具体工作人员开展政务公开专项培训，进一步提高政务公开工作水平。</w:t>
      </w:r>
    </w:p>
    <w:p>
      <w:pPr>
        <w:numPr>
          <w:ilvl w:val="0"/>
          <w:numId w:val="0"/>
        </w:numPr>
        <w:bidi w:val="0"/>
        <w:ind w:firstLine="640" w:firstLineChars="200"/>
        <w:jc w:val="both"/>
        <w:rPr>
          <w:rFonts w:hint="default" w:ascii="仿宋_GB2312" w:eastAsia="仿宋_GB2312"/>
          <w:color w:val="auto"/>
          <w:sz w:val="32"/>
          <w:szCs w:val="32"/>
          <w:lang w:val="en-US" w:eastAsia="zh-CN"/>
        </w:rPr>
      </w:pPr>
      <w:r>
        <w:rPr>
          <w:rFonts w:hint="eastAsia" w:ascii="仿宋_GB2312" w:eastAsia="仿宋_GB2312"/>
          <w:color w:val="auto"/>
          <w:sz w:val="32"/>
          <w:szCs w:val="32"/>
          <w:lang w:val="en-US" w:eastAsia="zh-CN"/>
        </w:rPr>
        <w:t>2019年</w:t>
      </w:r>
      <w:r>
        <w:rPr>
          <w:rFonts w:hint="default" w:ascii="仿宋_GB2312" w:eastAsia="仿宋_GB2312"/>
          <w:color w:val="auto"/>
          <w:sz w:val="32"/>
          <w:szCs w:val="32"/>
          <w:lang w:val="en-US" w:eastAsia="zh-CN"/>
        </w:rPr>
        <w:t>3月</w:t>
      </w:r>
      <w:r>
        <w:rPr>
          <w:rFonts w:hint="eastAsia" w:ascii="仿宋_GB2312" w:eastAsia="仿宋_GB2312"/>
          <w:color w:val="auto"/>
          <w:sz w:val="32"/>
          <w:szCs w:val="32"/>
          <w:lang w:val="en-US" w:eastAsia="zh-CN"/>
        </w:rPr>
        <w:t>，</w:t>
      </w:r>
      <w:r>
        <w:rPr>
          <w:rFonts w:hint="default" w:ascii="仿宋_GB2312" w:eastAsia="仿宋_GB2312"/>
          <w:color w:val="auto"/>
          <w:sz w:val="32"/>
          <w:szCs w:val="32"/>
          <w:lang w:val="en-US" w:eastAsia="zh-CN"/>
        </w:rPr>
        <w:t>发布《2019年度商河县政务公开工作培训计划》，决定采取以会代训的方式，组织召开全县政务公开工作会议，面向各镇街、县直各部门主管政务公开工作的分管领导和具体工作人员进行培训。一方面解读《中华人民共和国政府信息公开条例》，从《条例》出台的背景、重要意义，以及公开政府信息的原则、内容和要求，强调公开政府信息是各级各部门单位的职能和义务，从而提高公开政府信息的法律意识和责任意识；另一方面通过讲解省、市政务公开第三方评估指标体系，明确政务公开考核细则，进一步提高工作质量。</w:t>
      </w: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二、主动公开政府信息情况</w:t>
      </w:r>
    </w:p>
    <w:p>
      <w:pPr>
        <w:bidi w:val="0"/>
        <w:ind w:firstLine="480" w:firstLineChars="200"/>
        <w:rPr>
          <w:rFonts w:hint="eastAsia" w:asciiTheme="minorEastAsia" w:hAnsiTheme="minorEastAsia" w:eastAsiaTheme="minorEastAsia" w:cstheme="minorEastAsia"/>
          <w:sz w:val="24"/>
          <w:szCs w:val="24"/>
        </w:rPr>
      </w:pPr>
    </w:p>
    <w:tbl>
      <w:tblPr>
        <w:tblStyle w:val="4"/>
        <w:tblW w:w="8708" w:type="dxa"/>
        <w:jc w:val="center"/>
        <w:shd w:val="clear" w:color="auto" w:fill="auto"/>
        <w:tblLayout w:type="fixed"/>
        <w:tblCellMar>
          <w:top w:w="0" w:type="dxa"/>
          <w:left w:w="0" w:type="dxa"/>
          <w:bottom w:w="0" w:type="dxa"/>
          <w:right w:w="0" w:type="dxa"/>
        </w:tblCellMar>
      </w:tblPr>
      <w:tblGrid>
        <w:gridCol w:w="3073"/>
        <w:gridCol w:w="17"/>
        <w:gridCol w:w="2095"/>
        <w:gridCol w:w="1505"/>
        <w:gridCol w:w="2018"/>
      </w:tblGrid>
      <w:tr>
        <w:tblPrEx>
          <w:tblCellMar>
            <w:top w:w="0" w:type="dxa"/>
            <w:left w:w="0" w:type="dxa"/>
            <w:bottom w:w="0" w:type="dxa"/>
            <w:right w:w="0" w:type="dxa"/>
          </w:tblCellMar>
        </w:tblPrEx>
        <w:trPr>
          <w:trHeight w:val="594" w:hRule="atLeast"/>
          <w:jc w:val="center"/>
        </w:trPr>
        <w:tc>
          <w:tcPr>
            <w:tcW w:w="8708"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sz w:val="24"/>
              </w:rPr>
            </w:pPr>
            <w:r>
              <w:rPr>
                <w:rFonts w:hint="eastAsia" w:asciiTheme="minorEastAsia" w:hAnsiTheme="minorEastAsia" w:cstheme="minorEastAsia"/>
                <w:color w:val="000000"/>
                <w:kern w:val="0"/>
                <w:sz w:val="24"/>
              </w:rPr>
              <w:t>第二十条第（一）项</w:t>
            </w:r>
          </w:p>
        </w:tc>
      </w:tr>
      <w:tr>
        <w:tblPrEx>
          <w:shd w:val="clear" w:color="auto" w:fill="auto"/>
          <w:tblCellMar>
            <w:top w:w="0" w:type="dxa"/>
            <w:left w:w="0" w:type="dxa"/>
            <w:bottom w:w="0" w:type="dxa"/>
            <w:right w:w="0" w:type="dxa"/>
          </w:tblCellMar>
        </w:tblPrEx>
        <w:trPr>
          <w:trHeight w:val="866"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本年新制作数量</w:t>
            </w:r>
          </w:p>
        </w:tc>
        <w:tc>
          <w:tcPr>
            <w:tcW w:w="15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本年新</w:t>
            </w:r>
            <w:r>
              <w:rPr>
                <w:rFonts w:hint="eastAsia" w:asciiTheme="minorEastAsia" w:hAnsiTheme="minorEastAsia" w:cstheme="minorEastAsia"/>
                <w:color w:val="000000"/>
                <w:kern w:val="0"/>
                <w:sz w:val="24"/>
              </w:rPr>
              <w:br w:type="textWrapping"/>
            </w:r>
            <w:r>
              <w:rPr>
                <w:rFonts w:hint="eastAsia" w:asciiTheme="minorEastAsia" w:hAnsiTheme="minorEastAsia" w:cstheme="minorEastAsia"/>
                <w:color w:val="000000"/>
                <w:kern w:val="0"/>
                <w:sz w:val="24"/>
              </w:rPr>
              <w:t>公开数量</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对外公开</w:t>
            </w:r>
          </w:p>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总数量</w:t>
            </w:r>
          </w:p>
        </w:tc>
      </w:tr>
      <w:tr>
        <w:tblPrEx>
          <w:shd w:val="clear" w:color="auto" w:fill="auto"/>
          <w:tblCellMar>
            <w:top w:w="0" w:type="dxa"/>
            <w:left w:w="0" w:type="dxa"/>
            <w:bottom w:w="0" w:type="dxa"/>
            <w:right w:w="0" w:type="dxa"/>
          </w:tblCellMar>
        </w:tblPrEx>
        <w:trPr>
          <w:trHeight w:val="399"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规章</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0</w:t>
            </w:r>
          </w:p>
        </w:tc>
      </w:tr>
      <w:tr>
        <w:tblPrEx>
          <w:shd w:val="clear" w:color="auto" w:fill="auto"/>
          <w:tblCellMar>
            <w:top w:w="0" w:type="dxa"/>
            <w:left w:w="0" w:type="dxa"/>
            <w:bottom w:w="0" w:type="dxa"/>
            <w:right w:w="0" w:type="dxa"/>
          </w:tblCellMar>
        </w:tblPrEx>
        <w:trPr>
          <w:trHeight w:val="404"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规范性文件</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4</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4</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25</w:t>
            </w:r>
          </w:p>
        </w:tc>
      </w:tr>
      <w:tr>
        <w:tblPrEx>
          <w:shd w:val="clear" w:color="auto" w:fill="auto"/>
          <w:tblCellMar>
            <w:top w:w="0" w:type="dxa"/>
            <w:left w:w="0" w:type="dxa"/>
            <w:bottom w:w="0" w:type="dxa"/>
            <w:right w:w="0" w:type="dxa"/>
          </w:tblCellMar>
        </w:tblPrEx>
        <w:trPr>
          <w:trHeight w:val="480"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第二十条第（五）项</w:t>
            </w:r>
          </w:p>
        </w:tc>
      </w:tr>
      <w:tr>
        <w:tblPrEx>
          <w:shd w:val="clear" w:color="auto" w:fill="auto"/>
          <w:tblCellMar>
            <w:top w:w="0" w:type="dxa"/>
            <w:left w:w="0" w:type="dxa"/>
            <w:bottom w:w="0" w:type="dxa"/>
            <w:right w:w="0" w:type="dxa"/>
          </w:tblCellMar>
        </w:tblPrEx>
        <w:trPr>
          <w:trHeight w:val="516"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行政许可</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466</w:t>
            </w:r>
            <w:r>
              <w:rPr>
                <w:rFonts w:hint="eastAsia" w:asciiTheme="minorEastAsia" w:hAnsiTheme="minorEastAsia" w:cstheme="minorEastAsia"/>
                <w:color w:val="000000"/>
                <w:kern w:val="0"/>
                <w:sz w:val="24"/>
              </w:rPr>
              <w:t>　</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减75</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460</w:t>
            </w:r>
            <w:r>
              <w:rPr>
                <w:rFonts w:hint="eastAsia" w:asciiTheme="minorEastAsia" w:hAnsiTheme="minorEastAsia" w:cstheme="minorEastAsia"/>
                <w:color w:val="000000"/>
                <w:kern w:val="0"/>
                <w:sz w:val="24"/>
              </w:rPr>
              <w:t>　</w:t>
            </w:r>
          </w:p>
        </w:tc>
      </w:tr>
      <w:tr>
        <w:tblPrEx>
          <w:shd w:val="clear" w:color="auto" w:fill="auto"/>
          <w:tblCellMar>
            <w:top w:w="0" w:type="dxa"/>
            <w:left w:w="0" w:type="dxa"/>
            <w:bottom w:w="0" w:type="dxa"/>
            <w:right w:w="0" w:type="dxa"/>
          </w:tblCellMar>
        </w:tblPrEx>
        <w:trPr>
          <w:trHeight w:val="550"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其他对外管理服务事项</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4467</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eastAsia="zh-CN"/>
              </w:rPr>
              <w:t>增</w:t>
            </w:r>
            <w:r>
              <w:rPr>
                <w:rFonts w:hint="eastAsia" w:asciiTheme="minorEastAsia" w:hAnsiTheme="minorEastAsia" w:cstheme="minorEastAsia"/>
                <w:color w:val="000000"/>
                <w:kern w:val="0"/>
                <w:sz w:val="24"/>
                <w:lang w:val="en-US" w:eastAsia="zh-CN"/>
              </w:rPr>
              <w:t>817</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shd w:val="clear" w:color="auto" w:fill="auto"/>
                <w:lang w:val="en-US" w:eastAsia="zh-CN"/>
              </w:rPr>
              <w:t>1745</w:t>
            </w:r>
          </w:p>
        </w:tc>
      </w:tr>
      <w:tr>
        <w:tblPrEx>
          <w:shd w:val="clear" w:color="auto" w:fill="auto"/>
          <w:tblCellMar>
            <w:top w:w="0" w:type="dxa"/>
            <w:left w:w="0" w:type="dxa"/>
            <w:bottom w:w="0" w:type="dxa"/>
            <w:right w:w="0" w:type="dxa"/>
          </w:tblCellMar>
        </w:tblPrEx>
        <w:trPr>
          <w:trHeight w:val="497"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15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行政处罚</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3076</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eastAsia="zh-CN"/>
              </w:rPr>
              <w:t>增</w:t>
            </w:r>
            <w:r>
              <w:rPr>
                <w:rFonts w:hint="eastAsia" w:asciiTheme="minorEastAsia" w:hAnsiTheme="minorEastAsia" w:cstheme="minorEastAsia"/>
                <w:color w:val="000000"/>
                <w:kern w:val="0"/>
                <w:sz w:val="24"/>
                <w:lang w:val="en-US" w:eastAsia="zh-CN"/>
              </w:rPr>
              <w:t>196</w:t>
            </w:r>
            <w:r>
              <w:rPr>
                <w:rFonts w:hint="eastAsia" w:asciiTheme="minorEastAsia" w:hAnsiTheme="minorEastAsia" w:cstheme="minorEastAsia"/>
                <w:color w:val="000000"/>
                <w:kern w:val="0"/>
                <w:sz w:val="24"/>
              </w:rPr>
              <w:t>　</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shd w:val="clear" w:color="auto" w:fill="auto"/>
                <w:lang w:val="en-US" w:eastAsia="zh-CN"/>
              </w:rPr>
              <w:t>799</w:t>
            </w:r>
          </w:p>
        </w:tc>
      </w:tr>
      <w:tr>
        <w:tblPrEx>
          <w:shd w:val="clear" w:color="auto" w:fill="auto"/>
          <w:tblCellMar>
            <w:top w:w="0" w:type="dxa"/>
            <w:left w:w="0" w:type="dxa"/>
            <w:bottom w:w="0" w:type="dxa"/>
            <w:right w:w="0" w:type="dxa"/>
          </w:tblCellMar>
        </w:tblPrEx>
        <w:trPr>
          <w:trHeight w:val="409"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行政强制</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99</w:t>
            </w:r>
          </w:p>
        </w:tc>
        <w:tc>
          <w:tcPr>
            <w:tcW w:w="15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eastAsia="zh-CN"/>
              </w:rPr>
              <w:t>增</w:t>
            </w:r>
            <w:r>
              <w:rPr>
                <w:rFonts w:hint="eastAsia" w:asciiTheme="minorEastAsia" w:hAnsiTheme="minorEastAsia" w:cstheme="minorEastAsia"/>
                <w:color w:val="000000"/>
                <w:kern w:val="0"/>
                <w:sz w:val="24"/>
                <w:lang w:val="en-US" w:eastAsia="zh-CN"/>
              </w:rPr>
              <w:t>68</w:t>
            </w:r>
          </w:p>
        </w:tc>
        <w:tc>
          <w:tcPr>
            <w:tcW w:w="20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0</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上一年项目数量</w:t>
            </w:r>
          </w:p>
        </w:tc>
        <w:tc>
          <w:tcPr>
            <w:tcW w:w="3523"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本年增/减</w:t>
            </w:r>
          </w:p>
        </w:tc>
      </w:tr>
      <w:tr>
        <w:tblPrEx>
          <w:shd w:val="clear" w:color="auto" w:fill="auto"/>
          <w:tblCellMar>
            <w:top w:w="0" w:type="dxa"/>
            <w:left w:w="0" w:type="dxa"/>
            <w:bottom w:w="0" w:type="dxa"/>
            <w:right w:w="0" w:type="dxa"/>
          </w:tblCellMar>
        </w:tblPrEx>
        <w:trPr>
          <w:trHeight w:val="440" w:hRule="atLeast"/>
          <w:jc w:val="center"/>
        </w:trPr>
        <w:tc>
          <w:tcPr>
            <w:tcW w:w="3073"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行政事业性收费</w:t>
            </w:r>
          </w:p>
        </w:tc>
        <w:tc>
          <w:tcPr>
            <w:tcW w:w="2112"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27</w:t>
            </w:r>
            <w:r>
              <w:rPr>
                <w:rFonts w:hint="eastAsia" w:asciiTheme="minorEastAsia" w:hAnsiTheme="minorEastAsia" w:cstheme="minorEastAsia"/>
                <w:color w:val="000000"/>
                <w:kern w:val="0"/>
                <w:sz w:val="24"/>
              </w:rPr>
              <w:t>　</w:t>
            </w:r>
          </w:p>
        </w:tc>
        <w:tc>
          <w:tcPr>
            <w:tcW w:w="3523"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lang w:val="en-US" w:eastAsia="zh-CN"/>
              </w:rPr>
              <w:t>1</w:t>
            </w:r>
            <w:r>
              <w:rPr>
                <w:rFonts w:hint="eastAsia" w:asciiTheme="minorEastAsia" w:hAnsiTheme="minorEastAsia" w:cstheme="minorEastAsia"/>
                <w:color w:val="000000"/>
                <w:kern w:val="0"/>
                <w:sz w:val="24"/>
              </w:rPr>
              <w:t> </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信息内容</w:t>
            </w:r>
          </w:p>
        </w:tc>
        <w:tc>
          <w:tcPr>
            <w:tcW w:w="20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采购项目数量</w:t>
            </w:r>
          </w:p>
        </w:tc>
        <w:tc>
          <w:tcPr>
            <w:tcW w:w="3523" w:type="dxa"/>
            <w:gridSpan w:val="2"/>
            <w:tcBorders>
              <w:top w:val="single" w:color="auto" w:sz="8" w:space="0"/>
              <w:left w:val="nil"/>
              <w:bottom w:val="single" w:color="auto" w:sz="8" w:space="0"/>
              <w:right w:val="single" w:color="000000" w:sz="8" w:space="0"/>
            </w:tcBorders>
            <w:shd w:val="clear" w:color="auto" w:fill="auto"/>
            <w:tcMar>
              <w:left w:w="108" w:type="dxa"/>
              <w:right w:w="108" w:type="dxa"/>
            </w:tcMar>
            <w:vAlign w:val="center"/>
          </w:tcPr>
          <w:p>
            <w:pPr>
              <w:widowControl/>
              <w:jc w:val="center"/>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left"/>
              <w:rPr>
                <w:rFonts w:asciiTheme="minorEastAsia" w:hAnsiTheme="minorEastAsia" w:cstheme="minorEastAsia"/>
                <w:color w:val="000000"/>
                <w:kern w:val="0"/>
                <w:sz w:val="24"/>
              </w:rPr>
            </w:pPr>
            <w:r>
              <w:rPr>
                <w:rFonts w:hint="eastAsia" w:asciiTheme="minorEastAsia" w:hAnsiTheme="minorEastAsia" w:cstheme="minorEastAsia"/>
                <w:color w:val="000000"/>
                <w:kern w:val="0"/>
                <w:sz w:val="24"/>
              </w:rPr>
              <w:t>政府集中采购</w:t>
            </w:r>
          </w:p>
        </w:tc>
        <w:tc>
          <w:tcPr>
            <w:tcW w:w="209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424</w:t>
            </w:r>
          </w:p>
        </w:tc>
        <w:tc>
          <w:tcPr>
            <w:tcW w:w="3523" w:type="dxa"/>
            <w:gridSpan w:val="2"/>
            <w:tcBorders>
              <w:top w:val="nil"/>
              <w:left w:val="nil"/>
              <w:bottom w:val="single" w:color="auto" w:sz="8" w:space="0"/>
              <w:right w:val="single" w:color="000000" w:sz="8" w:space="0"/>
            </w:tcBorders>
            <w:shd w:val="clear" w:color="auto" w:fill="auto"/>
            <w:tcMar>
              <w:left w:w="108" w:type="dxa"/>
              <w:right w:w="108" w:type="dxa"/>
            </w:tcMar>
            <w:vAlign w:val="center"/>
          </w:tcPr>
          <w:p>
            <w:pPr>
              <w:jc w:val="center"/>
              <w:rPr>
                <w:rFonts w:hint="default" w:asciiTheme="minorEastAsia" w:hAnsiTheme="minorEastAsia" w:eastAsiaTheme="minorEastAsia" w:cstheme="minorEastAsia"/>
                <w:color w:val="000000"/>
                <w:kern w:val="0"/>
                <w:sz w:val="24"/>
                <w:lang w:val="en-US" w:eastAsia="zh-CN"/>
              </w:rPr>
            </w:pPr>
            <w:r>
              <w:rPr>
                <w:rFonts w:hint="eastAsia" w:asciiTheme="minorEastAsia" w:hAnsiTheme="minorEastAsia" w:cstheme="minorEastAsia"/>
                <w:color w:val="000000"/>
                <w:kern w:val="0"/>
                <w:sz w:val="24"/>
                <w:lang w:val="en-US" w:eastAsia="zh-CN"/>
              </w:rPr>
              <w:t>18.5亿元</w:t>
            </w:r>
          </w:p>
        </w:tc>
      </w:tr>
    </w:tbl>
    <w:p>
      <w:pPr>
        <w:bidi w:val="0"/>
        <w:ind w:firstLine="480" w:firstLineChars="200"/>
        <w:rPr>
          <w:rFonts w:hint="eastAsia" w:asciiTheme="minorEastAsia" w:hAnsiTheme="minorEastAsia" w:eastAsiaTheme="minorEastAsia" w:cstheme="minorEastAsia"/>
          <w:sz w:val="24"/>
          <w:szCs w:val="24"/>
        </w:rPr>
      </w:pP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三、收到和处理政府信息公开申请情况</w:t>
      </w:r>
    </w:p>
    <w:p>
      <w:pPr>
        <w:bidi w:val="0"/>
        <w:ind w:firstLine="480" w:firstLineChars="200"/>
        <w:rPr>
          <w:rFonts w:hint="eastAsia" w:asciiTheme="minorEastAsia" w:hAnsiTheme="minorEastAsia" w:eastAsiaTheme="minorEastAsia" w:cstheme="minorEastAsia"/>
          <w:sz w:val="24"/>
          <w:szCs w:val="24"/>
        </w:rPr>
      </w:pP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rPr>
                <w:rFonts w:hint="eastAsia" w:ascii="宋体" w:hAnsi="宋体" w:eastAsia="宋体" w:cs="宋体"/>
                <w:kern w:val="0"/>
                <w:sz w:val="20"/>
                <w:szCs w:val="20"/>
              </w:rPr>
            </w:pPr>
            <w:r>
              <w:rPr>
                <w:rFonts w:hint="eastAsia" w:ascii="宋体" w:hAnsi="宋体" w:eastAsia="宋体" w:cs="宋体"/>
                <w:kern w:val="0"/>
                <w:sz w:val="20"/>
                <w:szCs w:val="20"/>
              </w:rPr>
              <w:t>（本列数据的勾稽关系为：第一项加第二项之和，</w:t>
            </w:r>
          </w:p>
          <w:p>
            <w:pPr>
              <w:widowControl/>
              <w:jc w:val="center"/>
            </w:pPr>
            <w:r>
              <w:rPr>
                <w:rFonts w:hint="eastAsia" w:ascii="宋体" w:hAnsi="宋体" w:eastAsia="宋体" w:cs="宋体"/>
                <w:kern w:val="0"/>
                <w:sz w:val="20"/>
                <w:szCs w:val="20"/>
              </w:rPr>
              <w:t>等于第三项加第四项之和）</w:t>
            </w:r>
          </w:p>
        </w:tc>
        <w:tc>
          <w:tcPr>
            <w:tcW w:w="4293"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850"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自然人</w:t>
            </w:r>
          </w:p>
        </w:tc>
        <w:tc>
          <w:tcPr>
            <w:tcW w:w="2808"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pPr>
            <w:r>
              <w:rPr>
                <w:rFonts w:hint="eastAsia" w:ascii="宋体" w:hAnsi="宋体" w:eastAsia="宋体" w:cs="宋体"/>
                <w:kern w:val="0"/>
                <w:sz w:val="20"/>
                <w:szCs w:val="20"/>
              </w:rPr>
              <w:t>法人或其他组织</w:t>
            </w:r>
          </w:p>
        </w:tc>
        <w:tc>
          <w:tcPr>
            <w:tcW w:w="635"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850"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商业企业</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科研机构</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7" w:leftChars="-51" w:right="-107" w:rightChars="-51"/>
              <w:jc w:val="center"/>
            </w:pPr>
            <w:r>
              <w:rPr>
                <w:rFonts w:hint="eastAsia" w:ascii="宋体" w:hAnsi="宋体" w:eastAsia="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ind w:left="-106" w:leftChars="-51" w:right="-107" w:rightChars="-51" w:hanging="1"/>
              <w:jc w:val="center"/>
            </w:pPr>
            <w:r>
              <w:rPr>
                <w:rFonts w:hint="eastAsia" w:ascii="宋体" w:hAnsi="宋体" w:eastAsia="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60" w:lineRule="exact"/>
              <w:ind w:left="-63" w:leftChars="-30" w:right="-134" w:rightChars="-64"/>
              <w:jc w:val="center"/>
            </w:pPr>
            <w:r>
              <w:rPr>
                <w:rFonts w:hint="eastAsia" w:ascii="宋体" w:hAnsi="宋体" w:eastAsia="宋体" w:cs="宋体"/>
                <w:kern w:val="0"/>
                <w:sz w:val="20"/>
                <w:szCs w:val="20"/>
              </w:rPr>
              <w:t>其他</w:t>
            </w:r>
          </w:p>
        </w:tc>
        <w:tc>
          <w:tcPr>
            <w:tcW w:w="635"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ascii="宋体"/>
                <w:sz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7" w:hRule="atLeast"/>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一、本年新收政府信息公开申请数量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34</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35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72" w:hRule="atLeast"/>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二、上年结转政府信息公开申请数量</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pPr>
            <w:r>
              <w:rPr>
                <w:rFonts w:hint="eastAsia" w:ascii="宋体" w:hAnsi="宋体" w:eastAsia="宋体" w:cs="宋体"/>
                <w:kern w:val="0"/>
                <w:sz w:val="20"/>
                <w:szCs w:val="20"/>
              </w:rPr>
              <w:t>三、本年度办理结果</w:t>
            </w: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pPr>
            <w:r>
              <w:rPr>
                <w:rFonts w:ascii="楷体" w:hAnsi="楷体" w:eastAsia="楷体" w:cs="楷体"/>
                <w:kern w:val="0"/>
                <w:sz w:val="20"/>
                <w:szCs w:val="20"/>
              </w:rPr>
              <w:t>（一）予以公开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16</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pPr>
            <w:r>
              <w:rPr>
                <w:rFonts w:hint="eastAsia" w:ascii="楷体" w:hAnsi="楷体"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1.属于国家秘密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2.其他法律行政法规禁止公开</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3.危及“三安全一稳定”</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4.保护第三方合法权益</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5.属于三类内部事务信息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6.属于四类过程性信息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7.属于行政执法案卷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8.属于行政查询事项</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1.本机关不掌握相关政府信息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15</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2.没有现成信息需要另行制作</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ind w:left="-107" w:leftChars="-51"/>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3.补正后申请内容仍不明确</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ind w:left="-107" w:leftChars="-51"/>
            </w:pPr>
            <w:r>
              <w:rPr>
                <w:rFonts w:hint="eastAsia" w:ascii="楷体" w:hAnsi="楷体" w:eastAsia="楷体" w:cs="楷体"/>
                <w:kern w:val="0"/>
                <w:sz w:val="20"/>
                <w:szCs w:val="20"/>
              </w:rPr>
              <w:t>（五）不予处理</w:t>
            </w: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1.信访举报投诉类申请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rPr>
                <w:rFonts w:ascii="楷体" w:hAnsi="楷体" w:eastAsia="楷体" w:cs="楷体"/>
                <w:kern w:val="0"/>
                <w:sz w:val="20"/>
                <w:szCs w:val="20"/>
              </w:rPr>
            </w:pPr>
            <w:r>
              <w:rPr>
                <w:rFonts w:hint="eastAsia" w:ascii="楷体" w:hAnsi="楷体" w:eastAsia="楷体" w:cs="楷体"/>
                <w:kern w:val="0"/>
                <w:sz w:val="20"/>
                <w:szCs w:val="20"/>
              </w:rPr>
              <w:t>2.重复申请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3.要求提供公开出版物</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4.无正当理由大量反复申请</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141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spacing w:line="200" w:lineRule="exact"/>
              <w:rPr>
                <w:rFonts w:ascii="宋体"/>
                <w:sz w:val="24"/>
              </w:rPr>
            </w:pPr>
          </w:p>
        </w:tc>
        <w:tc>
          <w:tcPr>
            <w:tcW w:w="283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300" w:lineRule="exact"/>
              <w:rPr>
                <w:rFonts w:hint="eastAsia" w:ascii="楷体" w:hAnsi="楷体" w:eastAsia="楷体" w:cs="楷体"/>
                <w:kern w:val="0"/>
                <w:sz w:val="20"/>
                <w:szCs w:val="20"/>
              </w:rPr>
            </w:pPr>
            <w:r>
              <w:rPr>
                <w:rFonts w:hint="eastAsia" w:ascii="楷体" w:hAnsi="楷体" w:eastAsia="楷体" w:cs="楷体"/>
                <w:kern w:val="0"/>
                <w:sz w:val="20"/>
                <w:szCs w:val="20"/>
              </w:rPr>
              <w:t>5.要求行政机关确认或重新</w:t>
            </w:r>
          </w:p>
          <w:p>
            <w:pPr>
              <w:widowControl/>
              <w:spacing w:line="300" w:lineRule="exact"/>
              <w:ind w:firstLine="200" w:firstLineChars="100"/>
            </w:pPr>
            <w:r>
              <w:rPr>
                <w:rFonts w:hint="eastAsia" w:ascii="楷体" w:hAnsi="楷体" w:eastAsia="楷体" w:cs="楷体"/>
                <w:kern w:val="0"/>
                <w:sz w:val="20"/>
                <w:szCs w:val="20"/>
              </w:rPr>
              <w:t>出具已获取信息</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（六）其他处理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4253"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line="200" w:lineRule="exact"/>
            </w:pPr>
            <w:r>
              <w:rPr>
                <w:rFonts w:hint="eastAsia" w:ascii="楷体" w:hAnsi="楷体" w:eastAsia="楷体" w:cs="楷体"/>
                <w:kern w:val="0"/>
                <w:sz w:val="20"/>
                <w:szCs w:val="20"/>
              </w:rPr>
              <w:t>（七）总计</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sz w:val="21"/>
                <w:szCs w:val="21"/>
                <w:lang w:val="en-US" w:eastAsia="zh-CN"/>
              </w:rPr>
              <w:t>33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34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pPr>
            <w:r>
              <w:rPr>
                <w:rFonts w:hint="eastAsia" w:ascii="宋体" w:hAnsi="宋体" w:eastAsia="宋体" w:cs="宋体"/>
                <w:kern w:val="0"/>
                <w:sz w:val="20"/>
                <w:szCs w:val="20"/>
              </w:rPr>
              <w:t>四、结转下年度继续办理</w:t>
            </w:r>
          </w:p>
        </w:tc>
        <w:tc>
          <w:tcPr>
            <w:tcW w:w="85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540"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lang w:val="en-US" w:eastAsia="zh-CN"/>
              </w:rPr>
            </w:pPr>
            <w:r>
              <w:rPr>
                <w:rFonts w:hint="eastAsia"/>
                <w:lang w:val="en-US" w:eastAsia="zh-CN"/>
              </w:rPr>
              <w:t>0</w:t>
            </w:r>
          </w:p>
        </w:tc>
        <w:tc>
          <w:tcPr>
            <w:tcW w:w="635"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default"/>
                <w:lang w:val="en-US" w:eastAsia="zh-CN"/>
              </w:rPr>
            </w:pPr>
            <w:r>
              <w:rPr>
                <w:rFonts w:hint="eastAsia"/>
                <w:lang w:val="en-US" w:eastAsia="zh-CN"/>
              </w:rPr>
              <w:t>1</w:t>
            </w:r>
          </w:p>
        </w:tc>
      </w:tr>
    </w:tbl>
    <w:p>
      <w:pPr>
        <w:bidi w:val="0"/>
        <w:ind w:firstLine="480" w:firstLineChars="200"/>
        <w:rPr>
          <w:rFonts w:hint="eastAsia" w:asciiTheme="minorEastAsia" w:hAnsiTheme="minorEastAsia" w:eastAsiaTheme="minorEastAsia" w:cstheme="minorEastAsia"/>
          <w:sz w:val="24"/>
          <w:szCs w:val="24"/>
        </w:rPr>
      </w:pP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四、政府信息公开行政复议、行政诉讼情况</w:t>
      </w:r>
    </w:p>
    <w:p>
      <w:pPr>
        <w:pStyle w:val="3"/>
        <w:widowControl/>
        <w:shd w:val="clear" w:color="auto"/>
        <w:spacing w:beforeAutospacing="0" w:afterAutospacing="0"/>
        <w:jc w:val="both"/>
        <w:rPr>
          <w:rFonts w:ascii="宋体" w:hAnsi="宋体" w:eastAsia="宋体" w:cs="宋体"/>
          <w:color w:val="333333"/>
        </w:rPr>
      </w:pPr>
    </w:p>
    <w:tbl>
      <w:tblPr>
        <w:tblStyle w:val="4"/>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ind w:left="-149" w:leftChars="-71" w:right="-170" w:rightChars="-81"/>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49" w:leftChars="-71" w:right="-170" w:rightChars="-81"/>
              <w:jc w:val="center"/>
            </w:pPr>
            <w:r>
              <w:rPr>
                <w:rFonts w:hint="eastAsia" w:ascii="宋体" w:hAnsi="宋体" w:eastAsia="宋体" w:cs="宋体"/>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43" w:leftChars="-21" w:right="-132" w:rightChars="-63" w:hanging="1"/>
              <w:jc w:val="center"/>
            </w:pPr>
            <w:r>
              <w:rPr>
                <w:rFonts w:hint="eastAsia" w:ascii="宋体" w:hAnsi="宋体" w:eastAsia="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82" w:leftChars="-39" w:right="-97" w:rightChars="-46"/>
              <w:jc w:val="center"/>
            </w:pPr>
            <w:r>
              <w:rPr>
                <w:rFonts w:hint="eastAsia" w:ascii="宋体" w:hAnsi="宋体" w:eastAsia="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18" w:leftChars="-56" w:right="-118" w:rightChars="-56"/>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18" w:leftChars="-56" w:right="-118" w:rightChars="-56"/>
              <w:jc w:val="center"/>
            </w:pPr>
            <w:r>
              <w:rPr>
                <w:rFonts w:hint="eastAsia" w:ascii="宋体" w:hAnsi="宋体" w:eastAsia="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spacing w:line="320" w:lineRule="exact"/>
              <w:jc w:val="center"/>
              <w:rPr>
                <w:rFonts w:hint="eastAsia" w:ascii="宋体" w:hAnsi="宋体" w:eastAsia="宋体" w:cs="宋体"/>
                <w:kern w:val="0"/>
                <w:sz w:val="20"/>
                <w:szCs w:val="20"/>
              </w:rPr>
            </w:pPr>
            <w:r>
              <w:rPr>
                <w:rFonts w:hint="eastAsia" w:ascii="宋体" w:hAnsi="宋体" w:eastAsia="宋体" w:cs="宋体"/>
                <w:kern w:val="0"/>
                <w:sz w:val="20"/>
                <w:szCs w:val="20"/>
              </w:rPr>
              <w:t>总</w:t>
            </w:r>
          </w:p>
          <w:p>
            <w:pPr>
              <w:widowControl/>
              <w:spacing w:line="320" w:lineRule="exact"/>
              <w:jc w:val="center"/>
            </w:pPr>
            <w:r>
              <w:rPr>
                <w:rFonts w:hint="eastAsia" w:ascii="宋体" w:hAnsi="宋体" w:eastAsia="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ascii="宋体"/>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105" w:leftChars="-50" w:right="-126" w:rightChars="-60"/>
              <w:jc w:val="center"/>
            </w:pPr>
            <w:r>
              <w:rPr>
                <w:rFonts w:hint="eastAsia" w:ascii="宋体" w:hAnsi="宋体" w:eastAsia="宋体" w:cs="宋体"/>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ind w:left="-86" w:leftChars="-41" w:right="-88" w:rightChars="-42"/>
              <w:jc w:val="center"/>
            </w:pPr>
            <w:r>
              <w:rPr>
                <w:rFonts w:hint="eastAsia" w:ascii="宋体" w:hAnsi="宋体" w:eastAsia="宋体" w:cs="宋体"/>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26" w:leftChars="-60" w:right="-136" w:rightChars="-65"/>
              <w:jc w:val="center"/>
              <w:rPr>
                <w:rFonts w:hint="eastAsia" w:ascii="宋体" w:hAnsi="宋体" w:eastAsia="宋体" w:cs="宋体"/>
                <w:kern w:val="0"/>
                <w:sz w:val="20"/>
                <w:szCs w:val="20"/>
              </w:rPr>
            </w:pPr>
            <w:r>
              <w:rPr>
                <w:rFonts w:hint="eastAsia" w:ascii="宋体" w:hAnsi="宋体" w:eastAsia="宋体" w:cs="宋体"/>
                <w:kern w:val="0"/>
                <w:sz w:val="20"/>
                <w:szCs w:val="20"/>
              </w:rPr>
              <w:t>其他</w:t>
            </w:r>
          </w:p>
          <w:p>
            <w:pPr>
              <w:widowControl/>
              <w:ind w:left="-126" w:leftChars="-60" w:right="-136" w:rightChars="-65"/>
              <w:jc w:val="center"/>
            </w:pPr>
            <w:r>
              <w:rPr>
                <w:rFonts w:hint="eastAsia" w:ascii="宋体" w:hAnsi="宋体" w:eastAsia="宋体" w:cs="宋体"/>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64" w:leftChars="-78" w:right="-153" w:rightChars="-73"/>
              <w:jc w:val="center"/>
              <w:rPr>
                <w:rFonts w:hint="eastAsia" w:ascii="宋体" w:hAnsi="宋体" w:eastAsia="宋体" w:cs="宋体"/>
                <w:kern w:val="0"/>
                <w:sz w:val="20"/>
                <w:szCs w:val="20"/>
              </w:rPr>
            </w:pPr>
            <w:r>
              <w:rPr>
                <w:rFonts w:hint="eastAsia" w:ascii="宋体" w:hAnsi="宋体" w:eastAsia="宋体" w:cs="宋体"/>
                <w:kern w:val="0"/>
                <w:sz w:val="20"/>
                <w:szCs w:val="20"/>
              </w:rPr>
              <w:t>尚未</w:t>
            </w:r>
          </w:p>
          <w:p>
            <w:pPr>
              <w:widowControl/>
              <w:ind w:left="-164" w:leftChars="-78" w:right="-153" w:rightChars="-73"/>
              <w:jc w:val="center"/>
            </w:pPr>
            <w:r>
              <w:rPr>
                <w:rFonts w:hint="eastAsia" w:ascii="宋体" w:hAnsi="宋体" w:eastAsia="宋体" w:cs="宋体"/>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99" w:leftChars="-47" w:right="-78" w:rightChars="-37"/>
              <w:jc w:val="center"/>
            </w:pPr>
            <w:r>
              <w:rPr>
                <w:rFonts w:hint="eastAsia" w:ascii="宋体" w:hAnsi="宋体" w:eastAsia="宋体" w:cs="宋体"/>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36" w:leftChars="-65" w:right="-124" w:rightChars="-59"/>
              <w:jc w:val="center"/>
              <w:rPr>
                <w:rFonts w:hint="eastAsia" w:ascii="宋体" w:hAnsi="宋体" w:eastAsia="宋体" w:cs="宋体"/>
                <w:kern w:val="0"/>
                <w:sz w:val="20"/>
                <w:szCs w:val="20"/>
              </w:rPr>
            </w:pPr>
            <w:r>
              <w:rPr>
                <w:rFonts w:hint="eastAsia" w:ascii="宋体" w:hAnsi="宋体" w:eastAsia="宋体" w:cs="宋体"/>
                <w:kern w:val="0"/>
                <w:sz w:val="20"/>
                <w:szCs w:val="20"/>
              </w:rPr>
              <w:t>结果</w:t>
            </w:r>
          </w:p>
          <w:p>
            <w:pPr>
              <w:widowControl/>
              <w:ind w:left="-136" w:leftChars="-65" w:right="-124" w:rightChars="-59"/>
              <w:jc w:val="center"/>
            </w:pPr>
            <w:r>
              <w:rPr>
                <w:rFonts w:hint="eastAsia" w:ascii="宋体" w:hAnsi="宋体" w:eastAsia="宋体" w:cs="宋体"/>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173" w:leftChars="-83" w:right="-134" w:rightChars="-64" w:hanging="1"/>
              <w:jc w:val="center"/>
              <w:rPr>
                <w:rFonts w:hint="eastAsia" w:ascii="宋体" w:hAnsi="宋体" w:eastAsia="宋体" w:cs="宋体"/>
                <w:color w:val="000000"/>
                <w:kern w:val="0"/>
                <w:sz w:val="20"/>
                <w:szCs w:val="20"/>
              </w:rPr>
            </w:pPr>
            <w:r>
              <w:rPr>
                <w:rFonts w:hint="eastAsia" w:ascii="宋体" w:hAnsi="宋体" w:eastAsia="宋体" w:cs="宋体"/>
                <w:color w:val="000000"/>
                <w:kern w:val="0"/>
                <w:sz w:val="20"/>
                <w:szCs w:val="20"/>
              </w:rPr>
              <w:t>其他</w:t>
            </w:r>
          </w:p>
          <w:p>
            <w:pPr>
              <w:widowControl/>
              <w:ind w:left="-173" w:leftChars="-83" w:right="-134" w:rightChars="-64" w:hanging="1"/>
              <w:jc w:val="center"/>
            </w:pPr>
            <w:r>
              <w:rPr>
                <w:rFonts w:hint="eastAsia" w:ascii="宋体" w:hAnsi="宋体" w:eastAsia="宋体" w:cs="宋体"/>
                <w:color w:val="000000"/>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ind w:left="-67" w:leftChars="-33" w:right="-105" w:rightChars="-50" w:hanging="2" w:hangingChars="1"/>
              <w:jc w:val="center"/>
            </w:pPr>
            <w:r>
              <w:rPr>
                <w:rFonts w:hint="eastAsia" w:ascii="宋体" w:hAnsi="宋体" w:eastAsia="宋体" w:cs="宋体"/>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jc w:val="center"/>
            </w:pPr>
            <w:r>
              <w:rPr>
                <w:rFonts w:hint="eastAsia" w:ascii="宋体" w:hAnsi="宋体" w:eastAsia="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07" w:hRule="atLeast"/>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kern w:val="0"/>
                <w:sz w:val="20"/>
                <w:szCs w:val="20"/>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color w:val="000000"/>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kern w:val="0"/>
                <w:sz w:val="20"/>
                <w:szCs w:val="20"/>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spacing w:after="180"/>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0</w:t>
            </w:r>
          </w:p>
        </w:tc>
      </w:tr>
    </w:tbl>
    <w:p>
      <w:pPr>
        <w:widowControl/>
        <w:shd w:val="clear" w:color="auto"/>
        <w:jc w:val="center"/>
        <w:rPr>
          <w:rFonts w:ascii="宋体" w:hAnsi="宋体" w:eastAsia="宋体" w:cs="宋体"/>
          <w:color w:val="333333"/>
          <w:sz w:val="24"/>
        </w:rPr>
      </w:pP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五、存在的主要问题及改进情况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总结分析2019年工作情况，我县政府信息公开工作相较上一年度取得了较大提升，政府信息公开目录涉及面更加广泛、分类更加细致，但与省、市政府要求及人民群众日益提高的政府信息公开需求相比，还有一定差距。主要表现在：一是体系有待完善，工作人员专业素养有待提高。为规范政务公开工作流程，我县出台了一系列文件、方案，但尚未形成稳定适用、标准规范的政务公开工作体系，随着各责任单位人员的更迭，工作交接不力、专业水平不足现象时有发生，不利于我县政务公开工作的发展；二是信息公开监督考核机制需进一步强化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2020年，我县将按照国务院、省、市政府的要求，积极做好以下工作：</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是大力提高政务公开工作标准化、规范化程度。计划编制全县政务公开工作手册，将年度政务公开工作思路、任务分工、工作流程、网站维护操作指南、依申请公开办理程序等纳入手册，印发政务公开各责任单位。一方面，能够提高政务公开工作的标准化、规范化程度；另一方面，解决人员变更造成的工作交接不力、专业水平不足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二是加大政务公开工作考核力度。按照上级文件精神，结合我县实际情况，将政务公开考核工作纳入全县经济发展综合考评体系，并进一步增加分值权重。</w:t>
      </w:r>
    </w:p>
    <w:p>
      <w:pPr>
        <w:bidi w:val="0"/>
        <w:ind w:firstLine="640" w:firstLineChars="200"/>
        <w:rPr>
          <w:rFonts w:hint="eastAsia" w:ascii="黑体" w:hAnsi="黑体" w:eastAsia="黑体" w:cs="黑体"/>
          <w:sz w:val="32"/>
          <w:szCs w:val="32"/>
        </w:rPr>
      </w:pPr>
      <w:r>
        <w:rPr>
          <w:rFonts w:hint="eastAsia" w:ascii="黑体" w:hAnsi="黑体" w:eastAsia="黑体" w:cs="黑体"/>
          <w:sz w:val="32"/>
          <w:szCs w:val="32"/>
        </w:rPr>
        <w:t>六、其他需要报告的事项</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eastAsia="zh-CN"/>
        </w:rPr>
        <w:t>我县</w:t>
      </w:r>
      <w:r>
        <w:rPr>
          <w:rFonts w:hint="eastAsia" w:ascii="仿宋_GB2312" w:hAnsi="仿宋_GB2312" w:eastAsia="仿宋_GB2312" w:cs="仿宋_GB2312"/>
          <w:sz w:val="32"/>
          <w:szCs w:val="32"/>
        </w:rPr>
        <w:t>政府信息公开工作开展情况比较顺利，各单位</w:t>
      </w:r>
      <w:r>
        <w:rPr>
          <w:rFonts w:hint="eastAsia" w:ascii="仿宋_GB2312" w:hAnsi="仿宋_GB2312" w:eastAsia="仿宋_GB2312" w:cs="仿宋_GB2312"/>
          <w:sz w:val="32"/>
          <w:szCs w:val="32"/>
          <w:lang w:eastAsia="zh-CN"/>
        </w:rPr>
        <w:t>对政府</w:t>
      </w:r>
      <w:r>
        <w:rPr>
          <w:rFonts w:hint="eastAsia" w:ascii="仿宋_GB2312" w:hAnsi="仿宋_GB2312" w:eastAsia="仿宋_GB2312" w:cs="仿宋_GB2312"/>
          <w:sz w:val="32"/>
          <w:szCs w:val="32"/>
        </w:rPr>
        <w:t>信息公开工作</w:t>
      </w:r>
      <w:r>
        <w:rPr>
          <w:rFonts w:hint="eastAsia" w:ascii="仿宋_GB2312" w:hAnsi="仿宋_GB2312" w:eastAsia="仿宋_GB2312" w:cs="仿宋_GB2312"/>
          <w:sz w:val="32"/>
          <w:szCs w:val="32"/>
          <w:lang w:eastAsia="zh-CN"/>
        </w:rPr>
        <w:t>的重视程度进一步提高</w:t>
      </w:r>
      <w:r>
        <w:rPr>
          <w:rFonts w:hint="eastAsia" w:ascii="仿宋_GB2312" w:hAnsi="仿宋_GB2312" w:eastAsia="仿宋_GB2312" w:cs="仿宋_GB2312"/>
          <w:sz w:val="32"/>
          <w:szCs w:val="32"/>
        </w:rPr>
        <w:t>，暂无其他需要报告的事项。</w:t>
      </w:r>
    </w:p>
    <w:p>
      <w:pPr>
        <w:bidi w:val="0"/>
        <w:ind w:firstLine="640" w:firstLineChars="200"/>
        <w:rPr>
          <w:rFonts w:hint="eastAsia" w:ascii="仿宋_GB2312" w:hAnsi="仿宋_GB2312" w:eastAsia="仿宋_GB2312" w:cs="仿宋_GB2312"/>
          <w:sz w:val="32"/>
          <w:szCs w:val="32"/>
        </w:rPr>
      </w:pPr>
    </w:p>
    <w:p>
      <w:pPr>
        <w:bidi w:val="0"/>
        <w:ind w:firstLine="640" w:firstLineChars="200"/>
        <w:rPr>
          <w:rFonts w:hint="eastAsia" w:ascii="仿宋_GB2312" w:hAnsi="仿宋_GB2312" w:eastAsia="仿宋_GB2312" w:cs="仿宋_GB2312"/>
          <w:sz w:val="32"/>
          <w:szCs w:val="32"/>
        </w:rPr>
      </w:pPr>
    </w:p>
    <w:p>
      <w:pPr>
        <w:wordWrap w:val="0"/>
        <w:bidi w:val="0"/>
        <w:ind w:firstLine="640" w:firstLineChars="20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商河县人民政府办公室</w:t>
      </w:r>
      <w:r>
        <w:rPr>
          <w:rFonts w:hint="eastAsia" w:ascii="仿宋_GB2312" w:hAnsi="仿宋_GB2312" w:eastAsia="仿宋_GB2312" w:cs="仿宋_GB2312"/>
          <w:sz w:val="32"/>
          <w:szCs w:val="32"/>
          <w:lang w:val="en-US" w:eastAsia="zh-CN"/>
        </w:rPr>
        <w:t xml:space="preserve">     </w:t>
      </w:r>
    </w:p>
    <w:p>
      <w:pPr>
        <w:wordWrap w:val="0"/>
        <w:bidi w:val="0"/>
        <w:ind w:firstLine="640" w:firstLineChars="200"/>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2020年2月6日        </w:t>
      </w: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1D981F"/>
    <w:multiLevelType w:val="singleLevel"/>
    <w:tmpl w:val="3E1D981F"/>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542322"/>
    <w:rsid w:val="1A6F1DD1"/>
    <w:rsid w:val="434F73FB"/>
    <w:rsid w:val="7E5423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chart" Target="charts/chart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重点领域信息公开情况</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[工作簿1]Sheet1!$A$1:$K$1</c:f>
              <c:strCache>
                <c:ptCount val="11"/>
                <c:pt idx="0">
                  <c:v>脱贫攻坚</c:v>
                </c:pt>
                <c:pt idx="1">
                  <c:v>社会救助</c:v>
                </c:pt>
                <c:pt idx="2">
                  <c:v>社会福利</c:v>
                </c:pt>
                <c:pt idx="3">
                  <c:v>社会保险</c:v>
                </c:pt>
                <c:pt idx="4">
                  <c:v>就业创业</c:v>
                </c:pt>
                <c:pt idx="5">
                  <c:v>教育</c:v>
                </c:pt>
                <c:pt idx="6">
                  <c:v>医疗卫生</c:v>
                </c:pt>
                <c:pt idx="7">
                  <c:v>公共文化体育</c:v>
                </c:pt>
                <c:pt idx="8">
                  <c:v>市场监管</c:v>
                </c:pt>
                <c:pt idx="9">
                  <c:v>环境保护</c:v>
                </c:pt>
                <c:pt idx="10">
                  <c:v>灾害事故救援</c:v>
                </c:pt>
              </c:strCache>
            </c:strRef>
          </c:cat>
          <c:val>
            <c:numRef>
              <c:f>[工作簿1]Sheet1!$A$2:$K$2</c:f>
              <c:numCache>
                <c:formatCode>General</c:formatCode>
                <c:ptCount val="11"/>
                <c:pt idx="0">
                  <c:v>181</c:v>
                </c:pt>
                <c:pt idx="1">
                  <c:v>153</c:v>
                </c:pt>
                <c:pt idx="2">
                  <c:v>85</c:v>
                </c:pt>
                <c:pt idx="3">
                  <c:v>39</c:v>
                </c:pt>
                <c:pt idx="4">
                  <c:v>38</c:v>
                </c:pt>
                <c:pt idx="5">
                  <c:v>49</c:v>
                </c:pt>
                <c:pt idx="6">
                  <c:v>152</c:v>
                </c:pt>
                <c:pt idx="7">
                  <c:v>42</c:v>
                </c:pt>
                <c:pt idx="8">
                  <c:v>46</c:v>
                </c:pt>
                <c:pt idx="9">
                  <c:v>802</c:v>
                </c:pt>
                <c:pt idx="10">
                  <c:v>36</c:v>
                </c:pt>
              </c:numCache>
            </c:numRef>
          </c:val>
        </c:ser>
        <c:dLbls>
          <c:showLegendKey val="0"/>
          <c:showVal val="1"/>
          <c:showCatName val="0"/>
          <c:showSerName val="0"/>
          <c:showPercent val="0"/>
          <c:showBubbleSize val="0"/>
        </c:dLbls>
        <c:gapWidth val="75"/>
        <c:overlap val="40"/>
        <c:axId val="902723359"/>
        <c:axId val="357271970"/>
      </c:barChart>
      <c:catAx>
        <c:axId val="902723359"/>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57271970"/>
        <c:crosses val="autoZero"/>
        <c:auto val="1"/>
        <c:lblAlgn val="ctr"/>
        <c:lblOffset val="100"/>
        <c:noMultiLvlLbl val="0"/>
      </c:catAx>
      <c:valAx>
        <c:axId val="35727197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27233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政府信息公开申请办理情况</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[工作簿1]Sheet1!$A$1:$D$1</c:f>
              <c:strCache>
                <c:ptCount val="4"/>
                <c:pt idx="0">
                  <c:v>予以公开</c:v>
                </c:pt>
                <c:pt idx="1">
                  <c:v>不属于本行政机关公开</c:v>
                </c:pt>
                <c:pt idx="2">
                  <c:v>重复申请</c:v>
                </c:pt>
                <c:pt idx="3">
                  <c:v>不予公开</c:v>
                </c:pt>
              </c:strCache>
            </c:strRef>
          </c:cat>
          <c:val>
            <c:numRef>
              <c:f>[工作簿1]Sheet1!$A$2:$D$2</c:f>
              <c:numCache>
                <c:formatCode>General</c:formatCode>
                <c:ptCount val="4"/>
                <c:pt idx="0">
                  <c:v>16</c:v>
                </c:pt>
                <c:pt idx="1">
                  <c:v>16</c:v>
                </c:pt>
                <c:pt idx="2">
                  <c:v>1</c:v>
                </c:pt>
                <c:pt idx="3">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5039</Words>
  <Characters>5209</Characters>
  <Lines>0</Lines>
  <Paragraphs>0</Paragraphs>
  <TotalTime>3</TotalTime>
  <ScaleCrop>false</ScaleCrop>
  <LinksUpToDate>false</LinksUpToDate>
  <CharactersWithSpaces>5237</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2020-02-07T08:41:00Z</dcterms:created>
  <dc:creator>马子良</dc:creator>
  <cp:lastModifiedBy>。。</cp:lastModifiedBy>
  <dcterms:modified xsi:type="dcterms:W3CDTF">2023-05-25T06:19:45Z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F4EBE59D9817439BB037007D441AF10A_13</vt:lpwstr>
  </property>
</Properties>
</file>