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仿宋_GB2312" w:hAnsi="文星标宋" w:cs="文星标宋"/>
          <w:szCs w:val="32"/>
        </w:rPr>
      </w:pPr>
    </w:p>
    <w:p>
      <w:pPr>
        <w:spacing w:line="560" w:lineRule="exact"/>
        <w:jc w:val="center"/>
        <w:rPr>
          <w:rFonts w:hint="eastAsia" w:ascii="文星标宋" w:hAnsi="文星标宋" w:eastAsia="文星标宋" w:cs="文星标宋"/>
          <w:sz w:val="44"/>
          <w:szCs w:val="44"/>
        </w:rPr>
      </w:pPr>
      <w:bookmarkStart w:id="0" w:name="_GoBack"/>
      <w:r>
        <w:rPr>
          <w:rFonts w:hint="eastAsia" w:ascii="文星标宋" w:hAnsi="文星标宋" w:eastAsia="文星标宋" w:cs="文星标宋"/>
          <w:sz w:val="44"/>
          <w:szCs w:val="44"/>
        </w:rPr>
        <w:t>商河县</w:t>
      </w:r>
      <w:r>
        <w:rPr>
          <w:rFonts w:hint="eastAsia" w:ascii="文星标宋" w:hAnsi="文星标宋" w:eastAsia="文星标宋" w:cs="文星标宋"/>
          <w:sz w:val="44"/>
          <w:szCs w:val="44"/>
          <w:lang w:val="en-US" w:eastAsia="zh-CN"/>
        </w:rPr>
        <w:t>人民政府</w:t>
      </w:r>
      <w:r>
        <w:rPr>
          <w:rFonts w:hint="eastAsia" w:ascii="文星标宋" w:hAnsi="文星标宋" w:eastAsia="文星标宋" w:cs="文星标宋"/>
          <w:sz w:val="44"/>
          <w:szCs w:val="44"/>
        </w:rPr>
        <w:t>2022年政府信息公开</w:t>
      </w:r>
    </w:p>
    <w:p>
      <w:pPr>
        <w:spacing w:line="560" w:lineRule="exact"/>
        <w:jc w:val="center"/>
        <w:rPr>
          <w:rFonts w:hint="eastAsia" w:ascii="文星标宋" w:hAnsi="文星标宋" w:eastAsia="文星标宋" w:cs="文星标宋"/>
          <w:sz w:val="44"/>
          <w:szCs w:val="44"/>
        </w:rPr>
      </w:pPr>
      <w:r>
        <w:rPr>
          <w:rFonts w:hint="eastAsia" w:ascii="文星标宋" w:hAnsi="文星标宋" w:eastAsia="文星标宋" w:cs="文星标宋"/>
          <w:sz w:val="44"/>
          <w:szCs w:val="44"/>
        </w:rPr>
        <w:t>工作年度报告</w:t>
      </w:r>
      <w:bookmarkEnd w:id="0"/>
    </w:p>
    <w:p>
      <w:pPr>
        <w:spacing w:line="560" w:lineRule="exact"/>
        <w:jc w:val="center"/>
        <w:rPr>
          <w:rFonts w:ascii="仿宋_GB2312" w:hAnsi="文星标宋" w:cs="文星标宋"/>
          <w:szCs w:val="32"/>
        </w:rPr>
      </w:pP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根据《中华人民共和国政府信息公开条例》(国务院令第71</w:t>
      </w:r>
      <w:r>
        <w:rPr>
          <w:rFonts w:hint="eastAsia" w:ascii="仿宋_GB2312" w:hAnsi="宋体" w:cs="仿宋_GB2312"/>
          <w:color w:val="000000"/>
          <w:szCs w:val="32"/>
        </w:rPr>
        <w:t>1号修订)（以下简称《条例》）和《国务院办公厅政府信息与政务公开办公室关于印发&lt;中华人民共和国政府信息公开工作年度报告格式&gt;的通知》（国办公开办函〔2021〕30号）要求，特向社会公</w:t>
      </w:r>
      <w:r>
        <w:rPr>
          <w:rFonts w:hint="eastAsia" w:ascii="仿宋_GB2312" w:hAnsi="仿宋_GB2312" w:cs="仿宋_GB2312"/>
          <w:szCs w:val="32"/>
        </w:rPr>
        <w:t>布2022年度本机关政府信息公开年度报告。本报告由总体情况、主动公开政府信息情况、收到和处理政府信息公开申请情况、政府信息公开行政复议及行政诉讼情况、存在的主要问题及改进情况、其他需要报告的事项共六个部分组成。</w:t>
      </w:r>
      <w:r>
        <w:rPr>
          <w:rFonts w:hint="eastAsia" w:ascii="仿宋_GB2312" w:hAnsi="宋体" w:cs="仿宋_GB2312"/>
          <w:color w:val="000000"/>
          <w:szCs w:val="32"/>
        </w:rPr>
        <w:t>本年度报告电子版可从商河县人民政府门户网站（http://www.shanghe.gov.cn）查阅或下载。</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ascii="仿宋_GB2312" w:hAnsi="仿宋_GB2312" w:cs="仿宋_GB2312"/>
          <w:szCs w:val="32"/>
        </w:rPr>
      </w:pPr>
      <w:r>
        <w:rPr>
          <w:rFonts w:hint="eastAsia" w:ascii="仿宋_GB2312" w:hAnsi="仿宋_GB2312" w:cs="仿宋_GB2312"/>
          <w:szCs w:val="32"/>
        </w:rPr>
        <w:t>本报告中所列数据的统计期限自2022年1月1日起至2022年12月31日止。如对本报告有任何疑问，请与商河县人民政府办公室联系（地址：山东省济南市商河县明辉路1867号，电话：0531-84877567；邮箱：</w:t>
      </w:r>
      <w:r>
        <w:fldChar w:fldCharType="begin"/>
      </w:r>
      <w:r>
        <w:instrText xml:space="preserve"> HYPERLINK "mailto:jnslcqzfbgszwgk@jn.shandong.cn" </w:instrText>
      </w:r>
      <w:r>
        <w:fldChar w:fldCharType="separate"/>
      </w:r>
      <w:r>
        <w:rPr>
          <w:rFonts w:hint="eastAsia" w:ascii="仿宋_GB2312" w:hAnsi="仿宋_GB2312" w:cs="仿宋_GB2312"/>
          <w:szCs w:val="32"/>
        </w:rPr>
        <w:t>shxzfbgsdzzwb@jn.shandong.cn</w:t>
      </w:r>
      <w:r>
        <w:rPr>
          <w:rFonts w:hint="eastAsia" w:ascii="仿宋_GB2312" w:hAnsi="仿宋_GB2312" w:cs="仿宋_GB2312"/>
          <w:szCs w:val="32"/>
        </w:rPr>
        <w:fldChar w:fldCharType="end"/>
      </w:r>
      <w:r>
        <w:rPr>
          <w:rFonts w:hint="eastAsia" w:ascii="仿宋_GB2312" w:hAnsi="仿宋_GB2312" w:cs="仿宋_GB2312"/>
          <w:szCs w:val="32"/>
        </w:rPr>
        <w:t>）。</w:t>
      </w:r>
    </w:p>
    <w:p>
      <w:pPr>
        <w:numPr>
          <w:ilvl w:val="0"/>
          <w:numId w:val="1"/>
        </w:numPr>
        <w:spacing w:line="560" w:lineRule="exact"/>
        <w:ind w:firstLine="640" w:firstLineChars="200"/>
        <w:rPr>
          <w:rFonts w:ascii="黑体" w:hAnsi="黑体" w:eastAsia="黑体" w:cs="黑体"/>
          <w:szCs w:val="32"/>
        </w:rPr>
      </w:pPr>
      <w:r>
        <w:rPr>
          <w:rFonts w:hint="eastAsia" w:ascii="黑体" w:hAnsi="黑体" w:eastAsia="黑体" w:cs="黑体"/>
          <w:szCs w:val="32"/>
        </w:rPr>
        <w:t>总体情况</w:t>
      </w:r>
    </w:p>
    <w:p>
      <w:pPr>
        <w:spacing w:line="560" w:lineRule="exact"/>
        <w:ind w:firstLine="640" w:firstLineChars="200"/>
        <w:rPr>
          <w:rFonts w:ascii="仿宋_GB2312" w:hAnsi="仿宋_GB2312" w:cs="仿宋_GB2312"/>
          <w:szCs w:val="32"/>
        </w:rPr>
      </w:pPr>
      <w:r>
        <w:rPr>
          <w:rFonts w:hint="eastAsia" w:ascii="仿宋_GB2312" w:hAnsi="宋体" w:cs="仿宋_GB2312"/>
          <w:color w:val="000000"/>
          <w:szCs w:val="32"/>
        </w:rPr>
        <w:t>2</w:t>
      </w:r>
      <w:r>
        <w:rPr>
          <w:rFonts w:hint="eastAsia" w:ascii="仿宋_GB2312" w:hAnsi="仿宋_GB2312" w:cs="仿宋_GB2312"/>
          <w:szCs w:val="32"/>
        </w:rPr>
        <w:t>022年，商河县以习近平新时代中国特色社会主义思想为指导，全面贯彻落实党的二十大和二十次一中会议精神，认真落实国家及省、市关于深化政务公开工作的部署要求，深入落实“一三四六”工作思路，不断拓展政务公开的广度和深度，全面提升政务公开质量和实效，为加快再造一个“新商河”、建设新时代社会主义现代化强县作出新贡献。</w:t>
      </w:r>
    </w:p>
    <w:p>
      <w:pPr>
        <w:numPr>
          <w:ilvl w:val="0"/>
          <w:numId w:val="2"/>
        </w:numPr>
        <w:spacing w:line="560" w:lineRule="exact"/>
        <w:ind w:firstLine="640" w:firstLineChars="200"/>
        <w:rPr>
          <w:rFonts w:ascii="楷体_GB2312" w:hAnsi="楷体" w:eastAsia="楷体_GB2312" w:cs="楷体"/>
          <w:szCs w:val="32"/>
        </w:rPr>
      </w:pPr>
      <w:r>
        <w:rPr>
          <w:rFonts w:hint="eastAsia" w:ascii="楷体_GB2312" w:hAnsi="楷体" w:eastAsia="楷体_GB2312" w:cs="楷体"/>
          <w:szCs w:val="32"/>
        </w:rPr>
        <w:t>主动公开政府信息情况</w:t>
      </w:r>
    </w:p>
    <w:p>
      <w:pPr>
        <w:pStyle w:val="4"/>
        <w:widowControl/>
        <w:spacing w:beforeAutospacing="0" w:afterAutospacing="0" w:line="560" w:lineRule="exact"/>
        <w:ind w:firstLine="640" w:firstLineChars="200"/>
        <w:jc w:val="both"/>
        <w:rPr>
          <w:rFonts w:ascii="仿宋_GB2312" w:hAnsi="仿宋_GB2312" w:cs="仿宋_GB2312"/>
          <w:kern w:val="2"/>
          <w:sz w:val="32"/>
          <w:szCs w:val="32"/>
        </w:rPr>
      </w:pPr>
      <w:r>
        <w:rPr>
          <w:rFonts w:hint="eastAsia" w:ascii="仿宋_GB2312" w:cs="仿宋_GB2312"/>
          <w:sz w:val="32"/>
          <w:szCs w:val="32"/>
        </w:rPr>
        <w:t>一是聚焦社会公众需求，做好信息发布、解读回应。</w:t>
      </w:r>
      <w:r>
        <w:rPr>
          <w:rFonts w:hint="eastAsia" w:ascii="仿宋_GB2312" w:hAnsi="仿宋_GB2312" w:cs="仿宋_GB2312"/>
          <w:kern w:val="2"/>
          <w:sz w:val="32"/>
          <w:szCs w:val="32"/>
        </w:rPr>
        <w:t>2022年在商河县人民政府门户网站共公开1万余条信息。其中在“政策文件平台”发布68条信息，通过“政策解读”专题发布167条信息，发布政府常务会议25期，并对常务会议进行议题解读。发布政府公报4期，开展政府开放日活动10次，按时答复网站留言42条，开展征集调查6期，发布在线访谈1期。</w:t>
      </w:r>
    </w:p>
    <w:p>
      <w:pPr>
        <w:pStyle w:val="4"/>
        <w:widowControl/>
        <w:spacing w:beforeAutospacing="0" w:afterAutospacing="0"/>
        <w:rPr>
          <w:rFonts w:ascii="仿宋_GB2312" w:hAnsi="仿宋_GB2312" w:cs="仿宋_GB2312"/>
          <w:color w:val="000000"/>
          <w:sz w:val="32"/>
          <w:szCs w:val="32"/>
        </w:rPr>
      </w:pPr>
      <w:r>
        <w:rPr>
          <w:rFonts w:hint="eastAsia" w:ascii="仿宋_GB2312"/>
          <w:sz w:val="32"/>
          <w:szCs w:val="32"/>
        </w:rPr>
        <w:drawing>
          <wp:inline distT="0" distB="0" distL="0" distR="0">
            <wp:extent cx="5038725" cy="3238500"/>
            <wp:effectExtent l="19050" t="19050" r="28575" b="19050"/>
            <wp:docPr id="1" name="图片 4"/>
            <wp:cNvGraphicFramePr/>
            <a:graphic xmlns:a="http://schemas.openxmlformats.org/drawingml/2006/main">
              <a:graphicData uri="http://schemas.openxmlformats.org/drawingml/2006/picture">
                <pic:pic xmlns:pic="http://schemas.openxmlformats.org/drawingml/2006/picture">
                  <pic:nvPicPr>
                    <pic:cNvPr id="1" name="图片 4"/>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038725" cy="3238500"/>
                    </a:xfrm>
                    <a:prstGeom prst="rect">
                      <a:avLst/>
                    </a:prstGeom>
                    <a:noFill/>
                    <a:ln>
                      <a:solidFill>
                        <a:schemeClr val="tx1"/>
                      </a:solidFill>
                    </a:ln>
                    <a:effectLst/>
                  </pic:spPr>
                </pic:pic>
              </a:graphicData>
            </a:graphic>
          </wp:inline>
        </w:drawing>
      </w:r>
    </w:p>
    <w:p>
      <w:pPr>
        <w:pStyle w:val="4"/>
        <w:widowControl/>
        <w:spacing w:beforeAutospacing="0" w:afterAutospacing="0"/>
        <w:rPr>
          <w:rFonts w:ascii="仿宋_GB2312"/>
          <w:sz w:val="32"/>
          <w:szCs w:val="32"/>
        </w:rPr>
      </w:pPr>
      <w:r>
        <w:rPr>
          <w:rFonts w:hint="eastAsia" w:ascii="仿宋_GB2312"/>
          <w:sz w:val="32"/>
          <w:szCs w:val="32"/>
        </w:rPr>
        <w:drawing>
          <wp:inline distT="0" distB="0" distL="0" distR="0">
            <wp:extent cx="5038725" cy="3238500"/>
            <wp:effectExtent l="19050" t="19050" r="28575" b="1905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038725" cy="3238500"/>
                    </a:xfrm>
                    <a:prstGeom prst="rect">
                      <a:avLst/>
                    </a:prstGeom>
                    <a:noFill/>
                    <a:ln>
                      <a:solidFill>
                        <a:schemeClr val="tx1"/>
                      </a:solidFill>
                    </a:ln>
                    <a:effectLst/>
                  </pic:spPr>
                </pic:pic>
              </a:graphicData>
            </a:graphic>
          </wp:inline>
        </w:drawing>
      </w:r>
    </w:p>
    <w:p>
      <w:pPr>
        <w:pStyle w:val="4"/>
        <w:widowControl/>
        <w:spacing w:beforeAutospacing="0" w:afterAutospacing="0"/>
        <w:rPr>
          <w:rFonts w:ascii="仿宋_GB2312"/>
          <w:sz w:val="32"/>
          <w:szCs w:val="32"/>
        </w:rPr>
      </w:pPr>
      <w:r>
        <w:rPr>
          <w:rFonts w:hint="eastAsia" w:ascii="仿宋_GB2312"/>
          <w:sz w:val="32"/>
          <w:szCs w:val="32"/>
        </w:rPr>
        <w:drawing>
          <wp:inline distT="0" distB="0" distL="0" distR="0">
            <wp:extent cx="5038725" cy="3238500"/>
            <wp:effectExtent l="19050" t="19050" r="28575" b="19050"/>
            <wp:docPr id="3" name="图片 32" descr="a1fd1d12f1763942503e92cd0851411"/>
            <wp:cNvGraphicFramePr/>
            <a:graphic xmlns:a="http://schemas.openxmlformats.org/drawingml/2006/main">
              <a:graphicData uri="http://schemas.openxmlformats.org/drawingml/2006/picture">
                <pic:pic xmlns:pic="http://schemas.openxmlformats.org/drawingml/2006/picture">
                  <pic:nvPicPr>
                    <pic:cNvPr id="3" name="图片 32" descr="a1fd1d12f1763942503e92cd085141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38725" cy="3238500"/>
                    </a:xfrm>
                    <a:prstGeom prst="rect">
                      <a:avLst/>
                    </a:prstGeom>
                    <a:noFill/>
                    <a:ln>
                      <a:solidFill>
                        <a:schemeClr val="tx1"/>
                      </a:solidFill>
                    </a:ln>
                  </pic:spPr>
                </pic:pic>
              </a:graphicData>
            </a:graphic>
          </wp:inline>
        </w:drawing>
      </w:r>
    </w:p>
    <w:p>
      <w:pPr>
        <w:widowControl/>
        <w:shd w:val="clear" w:color="auto" w:fill="FFFFFF"/>
        <w:spacing w:line="560" w:lineRule="exact"/>
        <w:ind w:firstLine="643"/>
        <w:rPr>
          <w:rFonts w:ascii="仿宋_GB2312" w:hAnsi="仿宋_GB2312" w:cs="仿宋_GB2312"/>
          <w:szCs w:val="32"/>
        </w:rPr>
      </w:pPr>
      <w:r>
        <w:rPr>
          <w:rFonts w:hint="eastAsia" w:ascii="仿宋_GB2312" w:hAnsi="仿宋_GB2312" w:cs="仿宋_GB2312"/>
          <w:szCs w:val="32"/>
        </w:rPr>
        <w:t>二是聚焦为企优环境，加大经济领域信息公开。围绕优化营商环境，重点公开财政信息、“六稳六保”等政策，加大受疫情影响较重的餐饮、住宿、零售、文化、旅游、客运等行业帮扶政策的公开力度，全面落实支持市场主体纾困发展的相关政策，共发布助企纾困信息26条。持续推进反垄断和反不正当竞争执法信息公开工作，共发布市场监督监管结果信息59条，反不正当竞争信息8条。公开扩大有效投资政策、解读及执行落实信息11条。</w:t>
      </w:r>
    </w:p>
    <w:p>
      <w:pPr>
        <w:widowControl/>
        <w:shd w:val="clear" w:color="auto" w:fill="FFFFFF"/>
        <w:jc w:val="left"/>
        <w:rPr>
          <w:rFonts w:ascii="仿宋_GB2312" w:hAnsi="仿宋_GB2312" w:cs="仿宋_GB2312"/>
          <w:szCs w:val="32"/>
        </w:rPr>
      </w:pPr>
      <w:r>
        <w:rPr>
          <w:rFonts w:hint="eastAsia" w:ascii="仿宋_GB2312"/>
          <w:szCs w:val="32"/>
        </w:rPr>
        <w:drawing>
          <wp:inline distT="0" distB="0" distL="0" distR="0">
            <wp:extent cx="5038725" cy="3238500"/>
            <wp:effectExtent l="19050" t="19050" r="28575" b="19050"/>
            <wp:docPr id="13" name="图片 20"/>
            <wp:cNvGraphicFramePr/>
            <a:graphic xmlns:a="http://schemas.openxmlformats.org/drawingml/2006/main">
              <a:graphicData uri="http://schemas.openxmlformats.org/drawingml/2006/picture">
                <pic:pic xmlns:pic="http://schemas.openxmlformats.org/drawingml/2006/picture">
                  <pic:nvPicPr>
                    <pic:cNvPr id="13" name="图片 2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38725" cy="3238500"/>
                    </a:xfrm>
                    <a:prstGeom prst="rect">
                      <a:avLst/>
                    </a:prstGeom>
                    <a:noFill/>
                    <a:ln>
                      <a:solidFill>
                        <a:schemeClr val="tx1"/>
                      </a:solidFill>
                    </a:ln>
                    <a:effectLst/>
                  </pic:spPr>
                </pic:pic>
              </a:graphicData>
            </a:graphic>
          </wp:inline>
        </w:drawing>
      </w:r>
    </w:p>
    <w:p>
      <w:pPr>
        <w:widowControl/>
        <w:shd w:val="clear" w:color="auto" w:fill="FFFFFF"/>
        <w:jc w:val="left"/>
        <w:rPr>
          <w:rFonts w:ascii="仿宋_GB2312" w:hAnsi="仿宋_GB2312" w:cs="仿宋_GB2312"/>
          <w:szCs w:val="32"/>
        </w:rPr>
      </w:pPr>
      <w:r>
        <w:rPr>
          <w:rFonts w:hint="eastAsia" w:ascii="仿宋_GB2312"/>
          <w:szCs w:val="32"/>
        </w:rPr>
        <w:drawing>
          <wp:inline distT="0" distB="0" distL="0" distR="0">
            <wp:extent cx="5038725" cy="3238500"/>
            <wp:effectExtent l="19050" t="19050" r="28575" b="19050"/>
            <wp:docPr id="14" name="图片 7"/>
            <wp:cNvGraphicFramePr/>
            <a:graphic xmlns:a="http://schemas.openxmlformats.org/drawingml/2006/main">
              <a:graphicData uri="http://schemas.openxmlformats.org/drawingml/2006/picture">
                <pic:pic xmlns:pic="http://schemas.openxmlformats.org/drawingml/2006/picture">
                  <pic:nvPicPr>
                    <pic:cNvPr id="14" name="图片 7"/>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38725" cy="3238500"/>
                    </a:xfrm>
                    <a:prstGeom prst="rect">
                      <a:avLst/>
                    </a:prstGeom>
                    <a:noFill/>
                    <a:ln>
                      <a:solidFill>
                        <a:schemeClr val="tx1"/>
                      </a:solidFill>
                    </a:ln>
                    <a:effectLst/>
                  </pic:spPr>
                </pic:pic>
              </a:graphicData>
            </a:graphic>
          </wp:inline>
        </w:drawing>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三是聚焦为民办实事，强化民生领域信息公开。深入推进公共企事业单位信息公开，完善供水、供电、供气、供热、公共交通企业主动公开目录，公开全县各中小学校、医疗卫生机构、客运班车企业及供水、供电、供气等企业2055条。同时细化完善社会救助和社会福利、义务教育、社会保险、养老服务、公共文化服务等目录，公开信息264条。</w:t>
      </w:r>
    </w:p>
    <w:p>
      <w:pPr>
        <w:numPr>
          <w:ilvl w:val="0"/>
          <w:numId w:val="2"/>
        </w:numPr>
        <w:spacing w:line="560" w:lineRule="exact"/>
        <w:ind w:firstLine="640" w:firstLineChars="200"/>
        <w:rPr>
          <w:rFonts w:ascii="楷体_GB2312" w:hAnsi="楷体" w:eastAsia="楷体_GB2312" w:cs="楷体"/>
          <w:szCs w:val="32"/>
        </w:rPr>
      </w:pPr>
      <w:r>
        <w:rPr>
          <w:rFonts w:hint="eastAsia" w:ascii="楷体_GB2312" w:hAnsi="楷体" w:eastAsia="楷体_GB2312" w:cs="楷体"/>
          <w:szCs w:val="32"/>
        </w:rPr>
        <w:t>依申请公开情况</w:t>
      </w:r>
    </w:p>
    <w:p>
      <w:pPr>
        <w:pStyle w:val="4"/>
        <w:widowControl/>
        <w:spacing w:beforeAutospacing="0" w:afterAutospacing="0" w:line="560" w:lineRule="exact"/>
        <w:ind w:firstLine="646"/>
        <w:jc w:val="both"/>
        <w:rPr>
          <w:rFonts w:ascii="仿宋_GB2312" w:hAnsi="仿宋_GB2312" w:cs="仿宋_GB2312"/>
          <w:kern w:val="2"/>
          <w:sz w:val="32"/>
          <w:szCs w:val="32"/>
        </w:rPr>
      </w:pPr>
      <w:r>
        <w:rPr>
          <w:rFonts w:hint="eastAsia" w:ascii="仿宋_GB2312" w:hAnsi="仿宋_GB2312" w:cs="仿宋_GB2312"/>
          <w:kern w:val="2"/>
          <w:sz w:val="32"/>
          <w:szCs w:val="32"/>
        </w:rPr>
        <w:t>2022年全县各级各部门共收到政府信息公开申请58件，结转上年1件，均严格按有关规定和程序进行了答复，申请政府信息公开内容主要涉及：土地征收、房屋征收补偿、城乡规划等方面信息。从申请答复看，“予以公开”25件，“部分公开”18件，不予公开0件，“无法提供”9件，“其他处理”5件，转接下年度继续办理2件。所占比重分别为42.4%、30.5%、0%、15.3%、8.5%、3.3%。</w:t>
      </w:r>
    </w:p>
    <w:p>
      <w:pPr>
        <w:pStyle w:val="4"/>
        <w:widowControl/>
        <w:spacing w:before="100" w:after="100"/>
        <w:rPr>
          <w:rFonts w:ascii="仿宋_GB2312" w:hAnsi="仿宋_GB2312" w:cs="仿宋_GB2312"/>
          <w:sz w:val="32"/>
          <w:szCs w:val="32"/>
        </w:rPr>
      </w:pPr>
      <w:r>
        <w:rPr>
          <w:rFonts w:hint="eastAsia" w:ascii="仿宋_GB2312" w:hAnsi="仿宋_GB2312" w:cs="仿宋_GB2312"/>
          <w:sz w:val="32"/>
          <w:szCs w:val="32"/>
        </w:rPr>
        <w:drawing>
          <wp:inline distT="0" distB="0" distL="0" distR="0">
            <wp:extent cx="5038725" cy="3238500"/>
            <wp:effectExtent l="19050" t="19050" r="28575" b="19050"/>
            <wp:docPr id="15" name="图片 31" descr="c6d1d9fd2575c5447ba3c865b774463"/>
            <wp:cNvGraphicFramePr/>
            <a:graphic xmlns:a="http://schemas.openxmlformats.org/drawingml/2006/main">
              <a:graphicData uri="http://schemas.openxmlformats.org/drawingml/2006/picture">
                <pic:pic xmlns:pic="http://schemas.openxmlformats.org/drawingml/2006/picture">
                  <pic:nvPicPr>
                    <pic:cNvPr id="15" name="图片 31" descr="c6d1d9fd2575c5447ba3c865b774463"/>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38725" cy="3238500"/>
                    </a:xfrm>
                    <a:prstGeom prst="rect">
                      <a:avLst/>
                    </a:prstGeom>
                    <a:noFill/>
                    <a:ln>
                      <a:solidFill>
                        <a:schemeClr val="tx1"/>
                      </a:solidFill>
                    </a:ln>
                    <a:effectLst/>
                  </pic:spPr>
                </pic:pic>
              </a:graphicData>
            </a:graphic>
          </wp:inline>
        </w:drawing>
      </w:r>
    </w:p>
    <w:p>
      <w:pPr>
        <w:numPr>
          <w:ilvl w:val="0"/>
          <w:numId w:val="2"/>
        </w:numPr>
        <w:spacing w:line="560" w:lineRule="exact"/>
        <w:ind w:firstLine="640" w:firstLineChars="200"/>
        <w:rPr>
          <w:rFonts w:ascii="楷体_GB2312" w:hAnsi="楷体" w:eastAsia="楷体_GB2312" w:cs="楷体"/>
          <w:szCs w:val="32"/>
        </w:rPr>
      </w:pPr>
      <w:r>
        <w:rPr>
          <w:rFonts w:hint="eastAsia" w:ascii="楷体_GB2312" w:hAnsi="楷体" w:eastAsia="楷体_GB2312" w:cs="楷体"/>
          <w:szCs w:val="32"/>
        </w:rPr>
        <w:t>政府信息管理情况</w:t>
      </w:r>
    </w:p>
    <w:p>
      <w:pPr>
        <w:pStyle w:val="4"/>
        <w:widowControl/>
        <w:spacing w:beforeAutospacing="0" w:afterAutospacing="0" w:line="560" w:lineRule="exact"/>
        <w:ind w:firstLine="646"/>
        <w:jc w:val="both"/>
        <w:rPr>
          <w:rFonts w:ascii="仿宋_GB2312" w:hAnsi="仿宋_GB2312" w:cs="仿宋_GB2312"/>
          <w:kern w:val="2"/>
          <w:sz w:val="32"/>
          <w:szCs w:val="32"/>
        </w:rPr>
      </w:pPr>
      <w:r>
        <w:rPr>
          <w:rFonts w:hint="eastAsia" w:ascii="仿宋_GB2312" w:hAnsi="仿宋_GB2312" w:cs="仿宋_GB2312"/>
          <w:kern w:val="2"/>
          <w:sz w:val="32"/>
          <w:szCs w:val="32"/>
        </w:rPr>
        <w:t>严格落实政府信息管理制度，定期清理、标注现行有效及过期失效的规范性文件、政策文件。认真落实信息公开属性源头认定、信息发布保密审查等工作机制，积极推动主动公开。将2016年至今的政策性文件集中上传至政府文件库，实现更加便捷的检索服务。</w:t>
      </w:r>
    </w:p>
    <w:p>
      <w:pPr>
        <w:numPr>
          <w:ilvl w:val="0"/>
          <w:numId w:val="2"/>
        </w:numPr>
        <w:spacing w:line="560" w:lineRule="exact"/>
        <w:ind w:firstLine="640" w:firstLineChars="200"/>
        <w:rPr>
          <w:rFonts w:ascii="楷体_GB2312" w:hAnsi="楷体" w:eastAsia="楷体_GB2312" w:cs="楷体"/>
          <w:szCs w:val="32"/>
        </w:rPr>
      </w:pPr>
      <w:r>
        <w:rPr>
          <w:rFonts w:hint="eastAsia" w:ascii="楷体_GB2312" w:hAnsi="楷体" w:eastAsia="楷体_GB2312" w:cs="楷体"/>
          <w:szCs w:val="32"/>
        </w:rPr>
        <w:t>公开平台建设情况</w:t>
      </w:r>
    </w:p>
    <w:p>
      <w:pPr>
        <w:pStyle w:val="4"/>
        <w:widowControl/>
        <w:spacing w:beforeAutospacing="0" w:afterAutospacing="0" w:line="560" w:lineRule="exact"/>
        <w:ind w:firstLine="646"/>
        <w:jc w:val="both"/>
        <w:rPr>
          <w:rFonts w:ascii="仿宋_GB2312" w:hAnsi="仿宋_GB2312" w:cs="仿宋_GB2312"/>
          <w:kern w:val="2"/>
          <w:sz w:val="32"/>
          <w:szCs w:val="32"/>
        </w:rPr>
      </w:pPr>
      <w:r>
        <w:rPr>
          <w:rFonts w:hint="eastAsia" w:ascii="仿宋_GB2312" w:hAnsi="仿宋_GB2312" w:cs="仿宋_GB2312"/>
          <w:kern w:val="2"/>
          <w:sz w:val="32"/>
          <w:szCs w:val="32"/>
        </w:rPr>
        <w:t>对“商河县人民政府”门户网站进行升级改版，聚焦信息公开专栏优化页面信息展示。深入推进政务新媒体规范化建设，健全政务新媒体监管机制。提升优化政务公开专区功能，增加政府信息依申请公开受理、政策咨询、政策解读服务功能。对接“济南市融公开数字化平台”，现处于试运行状态。</w:t>
      </w:r>
    </w:p>
    <w:p>
      <w:pPr>
        <w:numPr>
          <w:ilvl w:val="0"/>
          <w:numId w:val="2"/>
        </w:numPr>
        <w:spacing w:line="560" w:lineRule="exact"/>
        <w:ind w:firstLine="640" w:firstLineChars="200"/>
        <w:rPr>
          <w:rFonts w:ascii="楷体_GB2312" w:hAnsi="楷体" w:eastAsia="楷体_GB2312" w:cs="楷体"/>
          <w:szCs w:val="32"/>
        </w:rPr>
      </w:pPr>
      <w:r>
        <w:rPr>
          <w:rFonts w:hint="eastAsia" w:ascii="楷体_GB2312" w:hAnsi="楷体" w:eastAsia="楷体_GB2312" w:cs="楷体"/>
          <w:szCs w:val="32"/>
        </w:rPr>
        <w:t>监督保障情况</w:t>
      </w:r>
    </w:p>
    <w:p>
      <w:pPr>
        <w:pStyle w:val="4"/>
        <w:widowControl/>
        <w:spacing w:beforeAutospacing="0" w:afterAutospacing="0" w:line="560" w:lineRule="exact"/>
        <w:ind w:firstLine="646"/>
        <w:jc w:val="both"/>
        <w:rPr>
          <w:rFonts w:ascii="仿宋_GB2312" w:hAnsi="宋体" w:cs="仿宋_GB2312"/>
          <w:color w:val="000000"/>
          <w:kern w:val="2"/>
          <w:sz w:val="32"/>
          <w:szCs w:val="32"/>
        </w:rPr>
      </w:pPr>
      <w:r>
        <w:rPr>
          <w:rFonts w:hint="eastAsia" w:ascii="仿宋_GB2312" w:hAnsi="仿宋_GB2312" w:cs="仿宋_GB2312"/>
          <w:kern w:val="2"/>
          <w:sz w:val="32"/>
          <w:szCs w:val="32"/>
        </w:rPr>
        <w:t>调整充实政务公开领导小组，切实发挥统筹指导协调推进职责。组织2次专题培训，进一步优化考核方式，将政务公开纳入全县高质量发展综合考核，切实提升全县政务公开工作水平，2022年共下发12次通报。</w:t>
      </w:r>
    </w:p>
    <w:p>
      <w:pPr>
        <w:numPr>
          <w:ilvl w:val="0"/>
          <w:numId w:val="3"/>
        </w:numPr>
        <w:spacing w:line="560" w:lineRule="exact"/>
        <w:ind w:firstLine="640" w:firstLineChars="200"/>
        <w:rPr>
          <w:rFonts w:ascii="黑体" w:hAnsi="黑体" w:eastAsia="黑体" w:cs="黑体"/>
          <w:szCs w:val="32"/>
        </w:rPr>
      </w:pPr>
      <w:r>
        <w:rPr>
          <w:rFonts w:hint="eastAsia" w:ascii="黑体" w:hAnsi="黑体" w:eastAsia="黑体" w:cs="黑体"/>
          <w:szCs w:val="32"/>
        </w:rPr>
        <w:t>主动公开政府信息情况</w:t>
      </w:r>
    </w:p>
    <w:tbl>
      <w:tblPr>
        <w:tblStyle w:val="5"/>
        <w:tblW w:w="9016" w:type="dxa"/>
        <w:jc w:val="center"/>
        <w:tblCellSpacing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3111"/>
        <w:gridCol w:w="1984"/>
        <w:gridCol w:w="1985"/>
        <w:gridCol w:w="19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5" w:hRule="atLeast"/>
          <w:tblCellSpacing w:w="0" w:type="dxa"/>
          <w:jc w:val="center"/>
        </w:trPr>
        <w:tc>
          <w:tcPr>
            <w:tcW w:w="9016" w:type="dxa"/>
            <w:gridSpan w:val="4"/>
            <w:shd w:val="clear" w:color="auto" w:fill="B4C6E7" w:themeFill="accent1" w:themeFillTint="66"/>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第二十条  第（一）项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85" w:hRule="atLeast"/>
          <w:tblCellSpacing w:w="0" w:type="dxa"/>
          <w:jc w:val="center"/>
        </w:trPr>
        <w:tc>
          <w:tcPr>
            <w:tcW w:w="3111"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信息内容</w:t>
            </w:r>
          </w:p>
        </w:tc>
        <w:tc>
          <w:tcPr>
            <w:tcW w:w="1984"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本年制发件数</w:t>
            </w:r>
          </w:p>
        </w:tc>
        <w:tc>
          <w:tcPr>
            <w:tcW w:w="1985"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本年废止件数</w:t>
            </w:r>
          </w:p>
        </w:tc>
        <w:tc>
          <w:tcPr>
            <w:tcW w:w="1936"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现行有效件数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tblCellSpacing w:w="0" w:type="dxa"/>
          <w:jc w:val="center"/>
        </w:trPr>
        <w:tc>
          <w:tcPr>
            <w:tcW w:w="3111"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规章</w:t>
            </w:r>
          </w:p>
        </w:tc>
        <w:tc>
          <w:tcPr>
            <w:tcW w:w="1984"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0</w:t>
            </w:r>
          </w:p>
        </w:tc>
        <w:tc>
          <w:tcPr>
            <w:tcW w:w="1985" w:type="dxa"/>
            <w:tcMar>
              <w:left w:w="105" w:type="dxa"/>
              <w:right w:w="105" w:type="dxa"/>
            </w:tcMar>
            <w:vAlign w:val="center"/>
          </w:tcPr>
          <w:p>
            <w:pPr>
              <w:pStyle w:val="4"/>
              <w:widowControl/>
              <w:spacing w:beforeAutospacing="0" w:afterAutospacing="0" w:line="400" w:lineRule="exact"/>
              <w:jc w:val="center"/>
              <w:rPr>
                <w:rFonts w:ascii="仿宋_GB2312" w:hAnsi="宋体" w:cs="宋体"/>
                <w:color w:val="333333"/>
                <w:sz w:val="28"/>
                <w:szCs w:val="28"/>
              </w:rPr>
            </w:pPr>
            <w:r>
              <w:rPr>
                <w:rFonts w:hint="eastAsia" w:ascii="仿宋_GB2312" w:hAnsi="宋体" w:cs="宋体"/>
                <w:color w:val="333333"/>
                <w:sz w:val="28"/>
                <w:szCs w:val="28"/>
              </w:rPr>
              <w:t>0</w:t>
            </w:r>
          </w:p>
        </w:tc>
        <w:tc>
          <w:tcPr>
            <w:tcW w:w="1936"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65" w:hRule="atLeast"/>
          <w:tblCellSpacing w:w="0" w:type="dxa"/>
          <w:jc w:val="center"/>
        </w:trPr>
        <w:tc>
          <w:tcPr>
            <w:tcW w:w="3111"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行政规范性文件</w:t>
            </w:r>
          </w:p>
        </w:tc>
        <w:tc>
          <w:tcPr>
            <w:tcW w:w="1984" w:type="dxa"/>
            <w:tcMar>
              <w:left w:w="105" w:type="dxa"/>
              <w:right w:w="105" w:type="dxa"/>
            </w:tcMar>
            <w:vAlign w:val="center"/>
          </w:tcPr>
          <w:p>
            <w:pPr>
              <w:pStyle w:val="4"/>
              <w:widowControl/>
              <w:spacing w:beforeAutospacing="0" w:afterAutospacing="0" w:line="400" w:lineRule="exact"/>
              <w:jc w:val="center"/>
              <w:rPr>
                <w:rFonts w:ascii="仿宋_GB2312" w:hAnsi="仿宋_GB2312" w:cs="仿宋_GB2312"/>
                <w:color w:val="333333"/>
                <w:sz w:val="28"/>
                <w:szCs w:val="28"/>
              </w:rPr>
            </w:pPr>
            <w:r>
              <w:rPr>
                <w:rFonts w:hint="eastAsia" w:ascii="仿宋_GB2312" w:hAnsi="仿宋_GB2312" w:cs="仿宋_GB2312"/>
                <w:color w:val="333333"/>
                <w:sz w:val="28"/>
                <w:szCs w:val="28"/>
              </w:rPr>
              <w:t>3</w:t>
            </w:r>
          </w:p>
        </w:tc>
        <w:tc>
          <w:tcPr>
            <w:tcW w:w="1985" w:type="dxa"/>
            <w:tcMar>
              <w:left w:w="105" w:type="dxa"/>
              <w:right w:w="105" w:type="dxa"/>
            </w:tcMar>
            <w:vAlign w:val="center"/>
          </w:tcPr>
          <w:p>
            <w:pPr>
              <w:pStyle w:val="4"/>
              <w:widowControl/>
              <w:spacing w:beforeAutospacing="0" w:afterAutospacing="0" w:line="400" w:lineRule="exact"/>
              <w:jc w:val="center"/>
              <w:rPr>
                <w:rFonts w:ascii="仿宋_GB2312" w:hAnsi="仿宋_GB2312" w:cs="仿宋_GB2312"/>
                <w:color w:val="333333"/>
                <w:sz w:val="28"/>
                <w:szCs w:val="28"/>
              </w:rPr>
            </w:pPr>
            <w:r>
              <w:rPr>
                <w:rFonts w:hint="eastAsia" w:ascii="仿宋_GB2312" w:hAnsi="仿宋_GB2312" w:cs="仿宋_GB2312"/>
                <w:color w:val="333333"/>
                <w:sz w:val="28"/>
                <w:szCs w:val="28"/>
              </w:rPr>
              <w:t>5</w:t>
            </w:r>
          </w:p>
        </w:tc>
        <w:tc>
          <w:tcPr>
            <w:tcW w:w="1936" w:type="dxa"/>
            <w:tcMar>
              <w:left w:w="105" w:type="dxa"/>
              <w:right w:w="105" w:type="dxa"/>
            </w:tcMar>
            <w:vAlign w:val="center"/>
          </w:tcPr>
          <w:p>
            <w:pPr>
              <w:pStyle w:val="4"/>
              <w:widowControl/>
              <w:spacing w:beforeAutospacing="0" w:afterAutospacing="0" w:line="400" w:lineRule="exact"/>
              <w:jc w:val="center"/>
              <w:rPr>
                <w:rFonts w:ascii="仿宋_GB2312" w:hAnsi="仿宋_GB2312" w:cs="仿宋_GB2312"/>
                <w:color w:val="333333"/>
                <w:sz w:val="28"/>
                <w:szCs w:val="28"/>
              </w:rPr>
            </w:pPr>
            <w:r>
              <w:rPr>
                <w:rFonts w:hint="eastAsia" w:ascii="仿宋_GB2312" w:hAnsi="仿宋_GB2312" w:cs="仿宋_GB2312"/>
                <w:color w:val="333333"/>
                <w:sz w:val="28"/>
                <w:szCs w:val="28"/>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80" w:hRule="atLeast"/>
          <w:tblCellSpacing w:w="0" w:type="dxa"/>
          <w:jc w:val="center"/>
        </w:trPr>
        <w:tc>
          <w:tcPr>
            <w:tcW w:w="9016" w:type="dxa"/>
            <w:gridSpan w:val="4"/>
            <w:shd w:val="clear" w:color="auto" w:fill="B4C6E7" w:themeFill="accent1" w:themeFillTint="66"/>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第二十条  第（五）项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0" w:hRule="atLeast"/>
          <w:tblCellSpacing w:w="0" w:type="dxa"/>
          <w:jc w:val="center"/>
        </w:trPr>
        <w:tc>
          <w:tcPr>
            <w:tcW w:w="3111"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信息内容</w:t>
            </w:r>
          </w:p>
        </w:tc>
        <w:tc>
          <w:tcPr>
            <w:tcW w:w="5905" w:type="dxa"/>
            <w:gridSpan w:val="3"/>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本年处理决定数量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25" w:hRule="atLeast"/>
          <w:tblCellSpacing w:w="0" w:type="dxa"/>
          <w:jc w:val="center"/>
        </w:trPr>
        <w:tc>
          <w:tcPr>
            <w:tcW w:w="3111"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行政许可</w:t>
            </w:r>
          </w:p>
        </w:tc>
        <w:tc>
          <w:tcPr>
            <w:tcW w:w="5905" w:type="dxa"/>
            <w:gridSpan w:val="3"/>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color w:val="333333"/>
                <w:sz w:val="28"/>
                <w:szCs w:val="28"/>
              </w:rPr>
              <w:t>19075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05" w:hRule="atLeast"/>
          <w:tblCellSpacing w:w="0" w:type="dxa"/>
          <w:jc w:val="center"/>
        </w:trPr>
        <w:tc>
          <w:tcPr>
            <w:tcW w:w="9016" w:type="dxa"/>
            <w:gridSpan w:val="4"/>
            <w:shd w:val="clear" w:color="auto" w:fill="B4C6E7" w:themeFill="accent1" w:themeFillTint="66"/>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第二十条  第（六）项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0" w:hRule="atLeast"/>
          <w:tblCellSpacing w:w="0" w:type="dxa"/>
          <w:jc w:val="center"/>
        </w:trPr>
        <w:tc>
          <w:tcPr>
            <w:tcW w:w="3111"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信息内容</w:t>
            </w:r>
          </w:p>
        </w:tc>
        <w:tc>
          <w:tcPr>
            <w:tcW w:w="5905" w:type="dxa"/>
            <w:gridSpan w:val="3"/>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本年处理决定数量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35" w:hRule="atLeast"/>
          <w:tblCellSpacing w:w="0" w:type="dxa"/>
          <w:jc w:val="center"/>
        </w:trPr>
        <w:tc>
          <w:tcPr>
            <w:tcW w:w="3111"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行政处罚</w:t>
            </w:r>
          </w:p>
        </w:tc>
        <w:tc>
          <w:tcPr>
            <w:tcW w:w="5905" w:type="dxa"/>
            <w:gridSpan w:val="3"/>
            <w:tcMar>
              <w:left w:w="105" w:type="dxa"/>
              <w:right w:w="105" w:type="dxa"/>
            </w:tcMar>
            <w:vAlign w:val="center"/>
          </w:tcPr>
          <w:p>
            <w:pPr>
              <w:pStyle w:val="4"/>
              <w:widowControl/>
              <w:spacing w:beforeAutospacing="0" w:afterAutospacing="0" w:line="400" w:lineRule="exact"/>
              <w:jc w:val="center"/>
              <w:rPr>
                <w:rFonts w:ascii="仿宋_GB2312" w:hAnsi="仿宋_GB2312" w:cs="仿宋_GB2312"/>
                <w:color w:val="333333"/>
                <w:sz w:val="28"/>
                <w:szCs w:val="28"/>
              </w:rPr>
            </w:pPr>
            <w:r>
              <w:rPr>
                <w:rFonts w:hint="eastAsia" w:ascii="仿宋_GB2312" w:hAnsi="仿宋_GB2312" w:cs="仿宋_GB2312"/>
                <w:color w:val="333333"/>
                <w:sz w:val="28"/>
                <w:szCs w:val="28"/>
              </w:rPr>
              <w:t>702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05" w:hRule="atLeast"/>
          <w:tblCellSpacing w:w="0" w:type="dxa"/>
          <w:jc w:val="center"/>
        </w:trPr>
        <w:tc>
          <w:tcPr>
            <w:tcW w:w="3111"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行政强制</w:t>
            </w:r>
          </w:p>
        </w:tc>
        <w:tc>
          <w:tcPr>
            <w:tcW w:w="5905" w:type="dxa"/>
            <w:gridSpan w:val="3"/>
            <w:tcMar>
              <w:left w:w="105" w:type="dxa"/>
              <w:right w:w="105" w:type="dxa"/>
            </w:tcMar>
            <w:vAlign w:val="center"/>
          </w:tcPr>
          <w:p>
            <w:pPr>
              <w:pStyle w:val="4"/>
              <w:widowControl/>
              <w:spacing w:beforeAutospacing="0" w:afterAutospacing="0" w:line="400" w:lineRule="exact"/>
              <w:jc w:val="center"/>
              <w:rPr>
                <w:rFonts w:ascii="仿宋_GB2312" w:hAnsi="仿宋_GB2312" w:cs="仿宋_GB2312"/>
                <w:color w:val="333333"/>
                <w:sz w:val="28"/>
                <w:szCs w:val="28"/>
              </w:rPr>
            </w:pPr>
            <w:r>
              <w:rPr>
                <w:rFonts w:hint="eastAsia" w:ascii="仿宋_GB2312" w:hAnsi="仿宋_GB2312" w:cs="仿宋_GB2312"/>
                <w:color w:val="333333"/>
                <w:sz w:val="28"/>
                <w:szCs w:val="28"/>
              </w:rPr>
              <w:t>308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80" w:hRule="atLeast"/>
          <w:tblCellSpacing w:w="0" w:type="dxa"/>
          <w:jc w:val="center"/>
        </w:trPr>
        <w:tc>
          <w:tcPr>
            <w:tcW w:w="9016" w:type="dxa"/>
            <w:gridSpan w:val="4"/>
            <w:shd w:val="clear" w:color="auto" w:fill="B4C6E7" w:themeFill="accent1" w:themeFillTint="66"/>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第二十条  第（八）项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0" w:hRule="atLeast"/>
          <w:tblCellSpacing w:w="0" w:type="dxa"/>
          <w:jc w:val="center"/>
        </w:trPr>
        <w:tc>
          <w:tcPr>
            <w:tcW w:w="3111"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信息内容</w:t>
            </w:r>
          </w:p>
        </w:tc>
        <w:tc>
          <w:tcPr>
            <w:tcW w:w="5905" w:type="dxa"/>
            <w:gridSpan w:val="3"/>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本年收费金额（单位：万元）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55" w:hRule="atLeast"/>
          <w:tblCellSpacing w:w="0" w:type="dxa"/>
          <w:jc w:val="center"/>
        </w:trPr>
        <w:tc>
          <w:tcPr>
            <w:tcW w:w="3111" w:type="dxa"/>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行政事业性收费</w:t>
            </w:r>
          </w:p>
        </w:tc>
        <w:tc>
          <w:tcPr>
            <w:tcW w:w="5905" w:type="dxa"/>
            <w:gridSpan w:val="3"/>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color w:val="333333"/>
                <w:sz w:val="28"/>
                <w:szCs w:val="28"/>
              </w:rPr>
              <w:t>7138</w:t>
            </w:r>
          </w:p>
        </w:tc>
      </w:tr>
    </w:tbl>
    <w:p>
      <w:pPr>
        <w:numPr>
          <w:ilvl w:val="0"/>
          <w:numId w:val="3"/>
        </w:numPr>
        <w:spacing w:line="560" w:lineRule="exact"/>
        <w:ind w:firstLine="640" w:firstLineChars="200"/>
        <w:rPr>
          <w:rFonts w:ascii="黑体" w:hAnsi="黑体" w:eastAsia="黑体" w:cs="黑体"/>
          <w:szCs w:val="32"/>
        </w:rPr>
      </w:pPr>
      <w:r>
        <w:rPr>
          <w:rFonts w:hint="eastAsia" w:ascii="黑体" w:hAnsi="黑体" w:eastAsia="黑体" w:cs="黑体"/>
          <w:szCs w:val="32"/>
        </w:rPr>
        <w:t>收到和处理政府信息公开申请情况</w:t>
      </w:r>
    </w:p>
    <w:tbl>
      <w:tblPr>
        <w:tblStyle w:val="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5"/>
        <w:gridCol w:w="983"/>
        <w:gridCol w:w="3370"/>
        <w:gridCol w:w="850"/>
        <w:gridCol w:w="567"/>
        <w:gridCol w:w="567"/>
        <w:gridCol w:w="567"/>
        <w:gridCol w:w="567"/>
        <w:gridCol w:w="540"/>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4778" w:type="dxa"/>
            <w:gridSpan w:val="3"/>
            <w:vMerge w:val="restart"/>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（本列数据的勾稽关系为：第一项加第二项之和，</w:t>
            </w:r>
          </w:p>
          <w:p>
            <w:pPr>
              <w:widowControl/>
              <w:spacing w:line="400" w:lineRule="exact"/>
              <w:rPr>
                <w:rFonts w:ascii="仿宋_GB2312" w:hAnsi="楷体" w:cs="楷体"/>
                <w:kern w:val="0"/>
                <w:sz w:val="28"/>
                <w:szCs w:val="28"/>
              </w:rPr>
            </w:pPr>
            <w:r>
              <w:rPr>
                <w:rFonts w:hint="eastAsia" w:ascii="仿宋_GB2312" w:hAnsi="楷体" w:cs="楷体"/>
                <w:kern w:val="0"/>
                <w:sz w:val="28"/>
                <w:szCs w:val="28"/>
              </w:rPr>
              <w:t>等于第三项加第四项之和）</w:t>
            </w:r>
          </w:p>
        </w:tc>
        <w:tc>
          <w:tcPr>
            <w:tcW w:w="4293" w:type="dxa"/>
            <w:gridSpan w:val="7"/>
            <w:tcMar>
              <w:left w:w="108" w:type="dxa"/>
              <w:right w:w="108" w:type="dxa"/>
            </w:tcMar>
            <w:vAlign w:val="center"/>
          </w:tcPr>
          <w:p>
            <w:pPr>
              <w:widowControl/>
              <w:spacing w:line="400" w:lineRule="exact"/>
              <w:jc w:val="center"/>
              <w:rPr>
                <w:rFonts w:ascii="仿宋_GB2312" w:hAnsi="楷体" w:cs="楷体"/>
                <w:kern w:val="0"/>
                <w:sz w:val="28"/>
                <w:szCs w:val="28"/>
              </w:rPr>
            </w:pPr>
            <w:r>
              <w:rPr>
                <w:rFonts w:hint="eastAsia" w:ascii="仿宋_GB2312" w:hAnsi="楷体" w:cs="楷体"/>
                <w:kern w:val="0"/>
                <w:sz w:val="28"/>
                <w:szCs w:val="28"/>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778" w:type="dxa"/>
            <w:gridSpan w:val="3"/>
            <w:vMerge w:val="continue"/>
            <w:tcMar>
              <w:left w:w="108" w:type="dxa"/>
              <w:right w:w="108" w:type="dxa"/>
            </w:tcMar>
            <w:vAlign w:val="center"/>
          </w:tcPr>
          <w:p>
            <w:pPr>
              <w:widowControl/>
              <w:spacing w:line="400" w:lineRule="exact"/>
              <w:rPr>
                <w:rFonts w:ascii="仿宋_GB2312" w:hAnsi="楷体" w:cs="楷体"/>
                <w:kern w:val="0"/>
                <w:sz w:val="28"/>
                <w:szCs w:val="28"/>
              </w:rPr>
            </w:pPr>
          </w:p>
        </w:tc>
        <w:tc>
          <w:tcPr>
            <w:tcW w:w="850" w:type="dxa"/>
            <w:vMerge w:val="restart"/>
            <w:tcMar>
              <w:left w:w="108" w:type="dxa"/>
              <w:right w:w="108" w:type="dxa"/>
            </w:tcMar>
            <w:vAlign w:val="center"/>
          </w:tcPr>
          <w:p>
            <w:pPr>
              <w:widowControl/>
              <w:spacing w:line="400" w:lineRule="exact"/>
              <w:jc w:val="center"/>
              <w:rPr>
                <w:rFonts w:ascii="仿宋_GB2312" w:hAnsi="楷体" w:cs="楷体"/>
                <w:kern w:val="0"/>
                <w:sz w:val="28"/>
                <w:szCs w:val="28"/>
              </w:rPr>
            </w:pPr>
            <w:r>
              <w:rPr>
                <w:rFonts w:hint="eastAsia" w:ascii="仿宋_GB2312" w:hAnsi="楷体" w:cs="楷体"/>
                <w:kern w:val="0"/>
                <w:sz w:val="28"/>
                <w:szCs w:val="28"/>
              </w:rPr>
              <w:t>自然人</w:t>
            </w:r>
          </w:p>
        </w:tc>
        <w:tc>
          <w:tcPr>
            <w:tcW w:w="2808" w:type="dxa"/>
            <w:gridSpan w:val="5"/>
            <w:tcMar>
              <w:left w:w="108" w:type="dxa"/>
              <w:right w:w="108" w:type="dxa"/>
            </w:tcMar>
            <w:vAlign w:val="center"/>
          </w:tcPr>
          <w:p>
            <w:pPr>
              <w:widowControl/>
              <w:spacing w:line="400" w:lineRule="exact"/>
              <w:jc w:val="center"/>
              <w:rPr>
                <w:rFonts w:ascii="仿宋_GB2312" w:hAnsi="楷体" w:cs="楷体"/>
                <w:kern w:val="0"/>
                <w:sz w:val="28"/>
                <w:szCs w:val="28"/>
              </w:rPr>
            </w:pPr>
            <w:r>
              <w:rPr>
                <w:rFonts w:hint="eastAsia" w:ascii="仿宋_GB2312" w:hAnsi="楷体" w:cs="楷体"/>
                <w:kern w:val="0"/>
                <w:sz w:val="28"/>
                <w:szCs w:val="28"/>
              </w:rPr>
              <w:t>法人或其他组织</w:t>
            </w:r>
          </w:p>
        </w:tc>
        <w:tc>
          <w:tcPr>
            <w:tcW w:w="635" w:type="dxa"/>
            <w:vMerge w:val="restart"/>
            <w:tcMar>
              <w:left w:w="108" w:type="dxa"/>
              <w:right w:w="108" w:type="dxa"/>
            </w:tcMar>
            <w:vAlign w:val="center"/>
          </w:tcPr>
          <w:p>
            <w:pPr>
              <w:widowControl/>
              <w:spacing w:line="400" w:lineRule="exact"/>
              <w:jc w:val="center"/>
              <w:rPr>
                <w:rFonts w:ascii="仿宋_GB2312" w:hAnsi="楷体" w:cs="楷体"/>
                <w:kern w:val="0"/>
                <w:sz w:val="28"/>
                <w:szCs w:val="28"/>
              </w:rPr>
            </w:pPr>
            <w:r>
              <w:rPr>
                <w:rFonts w:hint="eastAsia" w:ascii="仿宋_GB2312" w:hAnsi="楷体" w:cs="楷体"/>
                <w:kern w:val="0"/>
                <w:sz w:val="28"/>
                <w:szCs w:val="28"/>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jc w:val="center"/>
        </w:trPr>
        <w:tc>
          <w:tcPr>
            <w:tcW w:w="4778" w:type="dxa"/>
            <w:gridSpan w:val="3"/>
            <w:vMerge w:val="continue"/>
            <w:tcMar>
              <w:left w:w="108" w:type="dxa"/>
              <w:right w:w="108" w:type="dxa"/>
            </w:tcMar>
            <w:vAlign w:val="center"/>
          </w:tcPr>
          <w:p>
            <w:pPr>
              <w:widowControl/>
              <w:spacing w:line="400" w:lineRule="exact"/>
              <w:rPr>
                <w:rFonts w:ascii="仿宋_GB2312" w:hAnsi="楷体" w:cs="楷体"/>
                <w:kern w:val="0"/>
                <w:sz w:val="28"/>
                <w:szCs w:val="28"/>
              </w:rPr>
            </w:pPr>
          </w:p>
        </w:tc>
        <w:tc>
          <w:tcPr>
            <w:tcW w:w="850" w:type="dxa"/>
            <w:vMerge w:val="continue"/>
            <w:tcMar>
              <w:left w:w="108" w:type="dxa"/>
              <w:right w:w="108" w:type="dxa"/>
            </w:tcMar>
            <w:vAlign w:val="center"/>
          </w:tcPr>
          <w:p>
            <w:pPr>
              <w:spacing w:line="400" w:lineRule="exact"/>
              <w:jc w:val="center"/>
              <w:rPr>
                <w:rFonts w:ascii="仿宋_GB2312"/>
                <w:sz w:val="28"/>
                <w:szCs w:val="28"/>
              </w:rPr>
            </w:pPr>
          </w:p>
        </w:tc>
        <w:tc>
          <w:tcPr>
            <w:tcW w:w="567" w:type="dxa"/>
            <w:tcMar>
              <w:left w:w="108" w:type="dxa"/>
              <w:right w:w="108" w:type="dxa"/>
            </w:tcMar>
            <w:vAlign w:val="center"/>
          </w:tcPr>
          <w:p>
            <w:pPr>
              <w:widowControl/>
              <w:spacing w:line="400" w:lineRule="exact"/>
              <w:jc w:val="center"/>
              <w:rPr>
                <w:rFonts w:ascii="仿宋_GB2312" w:hAnsi="楷体" w:cs="楷体"/>
                <w:kern w:val="0"/>
                <w:sz w:val="28"/>
                <w:szCs w:val="28"/>
              </w:rPr>
            </w:pPr>
            <w:r>
              <w:rPr>
                <w:rFonts w:hint="eastAsia" w:ascii="仿宋_GB2312" w:hAnsi="楷体" w:cs="楷体"/>
                <w:kern w:val="0"/>
                <w:sz w:val="28"/>
                <w:szCs w:val="28"/>
              </w:rPr>
              <w:t>商业企业</w:t>
            </w:r>
          </w:p>
        </w:tc>
        <w:tc>
          <w:tcPr>
            <w:tcW w:w="567" w:type="dxa"/>
            <w:tcMar>
              <w:left w:w="108" w:type="dxa"/>
              <w:right w:w="108" w:type="dxa"/>
            </w:tcMar>
            <w:vAlign w:val="center"/>
          </w:tcPr>
          <w:p>
            <w:pPr>
              <w:widowControl/>
              <w:spacing w:line="400" w:lineRule="exact"/>
              <w:jc w:val="center"/>
              <w:rPr>
                <w:rFonts w:ascii="仿宋_GB2312" w:hAnsi="楷体" w:cs="楷体"/>
                <w:kern w:val="0"/>
                <w:sz w:val="28"/>
                <w:szCs w:val="28"/>
              </w:rPr>
            </w:pPr>
            <w:r>
              <w:rPr>
                <w:rFonts w:hint="eastAsia" w:ascii="仿宋_GB2312" w:hAnsi="楷体" w:cs="楷体"/>
                <w:kern w:val="0"/>
                <w:sz w:val="28"/>
                <w:szCs w:val="28"/>
              </w:rPr>
              <w:t>科研机构</w:t>
            </w:r>
          </w:p>
        </w:tc>
        <w:tc>
          <w:tcPr>
            <w:tcW w:w="567" w:type="dxa"/>
            <w:tcMar>
              <w:left w:w="108" w:type="dxa"/>
              <w:right w:w="108" w:type="dxa"/>
            </w:tcMar>
            <w:vAlign w:val="center"/>
          </w:tcPr>
          <w:p>
            <w:pPr>
              <w:widowControl/>
              <w:spacing w:line="400" w:lineRule="exact"/>
              <w:jc w:val="center"/>
              <w:rPr>
                <w:rFonts w:ascii="仿宋_GB2312" w:hAnsi="楷体" w:cs="楷体"/>
                <w:kern w:val="0"/>
                <w:sz w:val="28"/>
                <w:szCs w:val="28"/>
              </w:rPr>
            </w:pPr>
            <w:r>
              <w:rPr>
                <w:rFonts w:hint="eastAsia" w:ascii="仿宋_GB2312" w:hAnsi="楷体" w:cs="楷体"/>
                <w:kern w:val="0"/>
                <w:sz w:val="28"/>
                <w:szCs w:val="28"/>
              </w:rPr>
              <w:t>社会公益组织</w:t>
            </w:r>
          </w:p>
        </w:tc>
        <w:tc>
          <w:tcPr>
            <w:tcW w:w="567" w:type="dxa"/>
            <w:tcMar>
              <w:left w:w="108" w:type="dxa"/>
              <w:right w:w="108" w:type="dxa"/>
            </w:tcMar>
            <w:vAlign w:val="center"/>
          </w:tcPr>
          <w:p>
            <w:pPr>
              <w:widowControl/>
              <w:spacing w:line="400" w:lineRule="exact"/>
              <w:jc w:val="center"/>
              <w:rPr>
                <w:rFonts w:ascii="仿宋_GB2312" w:hAnsi="楷体" w:cs="楷体"/>
                <w:kern w:val="0"/>
                <w:sz w:val="28"/>
                <w:szCs w:val="28"/>
              </w:rPr>
            </w:pPr>
            <w:r>
              <w:rPr>
                <w:rFonts w:hint="eastAsia" w:ascii="仿宋_GB2312" w:hAnsi="楷体" w:cs="楷体"/>
                <w:kern w:val="0"/>
                <w:sz w:val="28"/>
                <w:szCs w:val="28"/>
              </w:rPr>
              <w:t>法律服务机构</w:t>
            </w:r>
          </w:p>
        </w:tc>
        <w:tc>
          <w:tcPr>
            <w:tcW w:w="540" w:type="dxa"/>
            <w:tcMar>
              <w:left w:w="108" w:type="dxa"/>
              <w:right w:w="108" w:type="dxa"/>
            </w:tcMar>
            <w:vAlign w:val="center"/>
          </w:tcPr>
          <w:p>
            <w:pPr>
              <w:widowControl/>
              <w:spacing w:line="400" w:lineRule="exact"/>
              <w:jc w:val="center"/>
              <w:rPr>
                <w:rFonts w:ascii="仿宋_GB2312" w:hAnsi="楷体" w:cs="楷体"/>
                <w:kern w:val="0"/>
                <w:sz w:val="28"/>
                <w:szCs w:val="28"/>
              </w:rPr>
            </w:pPr>
            <w:r>
              <w:rPr>
                <w:rFonts w:hint="eastAsia" w:ascii="仿宋_GB2312" w:hAnsi="楷体" w:cs="楷体"/>
                <w:kern w:val="0"/>
                <w:sz w:val="28"/>
                <w:szCs w:val="28"/>
              </w:rPr>
              <w:t>其他</w:t>
            </w:r>
          </w:p>
        </w:tc>
        <w:tc>
          <w:tcPr>
            <w:tcW w:w="635" w:type="dxa"/>
            <w:vMerge w:val="continue"/>
            <w:tcMar>
              <w:left w:w="108" w:type="dxa"/>
              <w:right w:w="108" w:type="dxa"/>
            </w:tcMar>
            <w:vAlign w:val="center"/>
          </w:tcPr>
          <w:p>
            <w:pPr>
              <w:spacing w:line="400" w:lineRule="exact"/>
              <w:jc w:val="center"/>
              <w:rPr>
                <w:rFonts w:ascii="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78" w:type="dxa"/>
            <w:gridSpan w:val="3"/>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一、本年新收政府信息公开申请数量</w:t>
            </w:r>
          </w:p>
        </w:tc>
        <w:tc>
          <w:tcPr>
            <w:tcW w:w="850" w:type="dxa"/>
            <w:tcMar>
              <w:left w:w="108" w:type="dxa"/>
              <w:right w:w="108" w:type="dxa"/>
            </w:tcMar>
            <w:vAlign w:val="center"/>
          </w:tcPr>
          <w:p>
            <w:pPr>
              <w:widowControl/>
              <w:spacing w:line="400" w:lineRule="exact"/>
              <w:ind w:firstLine="280" w:firstLineChars="100"/>
              <w:rPr>
                <w:rFonts w:ascii="仿宋_GB2312" w:hAnsi="仿宋_GB2312" w:cs="仿宋_GB2312"/>
                <w:sz w:val="28"/>
                <w:szCs w:val="28"/>
              </w:rPr>
            </w:pPr>
            <w:r>
              <w:rPr>
                <w:rFonts w:hint="eastAsia" w:ascii="仿宋_GB2312" w:hAnsi="仿宋_GB2312" w:cs="仿宋_GB2312"/>
                <w:sz w:val="28"/>
                <w:szCs w:val="28"/>
              </w:rPr>
              <w:t>58</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78" w:type="dxa"/>
            <w:gridSpan w:val="3"/>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二、上年结转政府信息公开申请数量</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1</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5" w:type="dxa"/>
            <w:vMerge w:val="restart"/>
            <w:tcMar>
              <w:left w:w="108" w:type="dxa"/>
              <w:right w:w="108" w:type="dxa"/>
            </w:tcMar>
            <w:vAlign w:val="center"/>
          </w:tcPr>
          <w:p>
            <w:pPr>
              <w:widowControl/>
              <w:spacing w:line="400" w:lineRule="exact"/>
              <w:rPr>
                <w:rFonts w:ascii="仿宋_GB2312"/>
                <w:sz w:val="28"/>
                <w:szCs w:val="28"/>
              </w:rPr>
            </w:pPr>
            <w:r>
              <w:rPr>
                <w:rFonts w:hint="eastAsia" w:ascii="仿宋_GB2312" w:hAnsi="宋体" w:cs="宋体"/>
                <w:kern w:val="0"/>
                <w:sz w:val="28"/>
                <w:szCs w:val="28"/>
              </w:rPr>
              <w:t>三、本年度办理结果</w:t>
            </w:r>
          </w:p>
        </w:tc>
        <w:tc>
          <w:tcPr>
            <w:tcW w:w="4353" w:type="dxa"/>
            <w:gridSpan w:val="2"/>
            <w:tcMar>
              <w:left w:w="108" w:type="dxa"/>
              <w:right w:w="108" w:type="dxa"/>
            </w:tcMar>
            <w:vAlign w:val="center"/>
          </w:tcPr>
          <w:p>
            <w:pPr>
              <w:widowControl/>
              <w:spacing w:line="400" w:lineRule="exact"/>
              <w:rPr>
                <w:rFonts w:ascii="仿宋_GB2312"/>
                <w:sz w:val="28"/>
                <w:szCs w:val="28"/>
              </w:rPr>
            </w:pPr>
            <w:r>
              <w:rPr>
                <w:rFonts w:hint="eastAsia" w:ascii="仿宋_GB2312" w:hAnsi="楷体" w:cs="楷体"/>
                <w:kern w:val="0"/>
                <w:sz w:val="28"/>
                <w:szCs w:val="28"/>
              </w:rPr>
              <w:t>（一）予以公开</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25</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4353" w:type="dxa"/>
            <w:gridSpan w:val="2"/>
            <w:tcMar>
              <w:left w:w="108" w:type="dxa"/>
              <w:right w:w="108" w:type="dxa"/>
            </w:tcMar>
            <w:vAlign w:val="center"/>
          </w:tcPr>
          <w:p>
            <w:pPr>
              <w:widowControl/>
              <w:spacing w:line="400" w:lineRule="exact"/>
              <w:rPr>
                <w:rFonts w:ascii="仿宋_GB2312"/>
                <w:sz w:val="28"/>
                <w:szCs w:val="28"/>
              </w:rPr>
            </w:pPr>
            <w:r>
              <w:rPr>
                <w:rFonts w:hint="eastAsia" w:ascii="仿宋_GB2312" w:hAnsi="楷体" w:cs="楷体"/>
                <w:kern w:val="0"/>
                <w:sz w:val="28"/>
                <w:szCs w:val="28"/>
              </w:rPr>
              <w:t>（二）部分公开（区分处理的，只计这一情形，不计其他情形）</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18</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restart"/>
            <w:tcMar>
              <w:left w:w="108" w:type="dxa"/>
              <w:right w:w="108" w:type="dxa"/>
            </w:tcMar>
            <w:vAlign w:val="center"/>
          </w:tcPr>
          <w:p>
            <w:pPr>
              <w:widowControl/>
              <w:spacing w:line="400" w:lineRule="exact"/>
              <w:ind w:left="-163" w:leftChars="-51"/>
              <w:rPr>
                <w:rFonts w:ascii="仿宋_GB2312"/>
                <w:sz w:val="28"/>
                <w:szCs w:val="28"/>
              </w:rPr>
            </w:pPr>
            <w:r>
              <w:rPr>
                <w:rFonts w:hint="eastAsia" w:ascii="仿宋_GB2312" w:hAnsi="楷体" w:cs="楷体"/>
                <w:kern w:val="0"/>
                <w:sz w:val="28"/>
                <w:szCs w:val="28"/>
              </w:rPr>
              <w:t>（三）不予公开</w:t>
            </w: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1.属于国家秘密</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rPr>
                <w:rFonts w:ascii="仿宋_GB2312"/>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2.其他法律行政法规禁止公开</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rPr>
                <w:rFonts w:ascii="仿宋_GB2312"/>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3.危及“三安全一稳定”</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rPr>
                <w:rFonts w:ascii="仿宋_GB2312"/>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4.保护第三方合法权益</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rPr>
                <w:rFonts w:ascii="仿宋_GB2312"/>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5.属于三类内部事务信息</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rPr>
                <w:rFonts w:ascii="仿宋_GB2312"/>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6.属于四类过程性信息</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rPr>
                <w:rFonts w:ascii="仿宋_GB2312"/>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7.属于行政执法案卷</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rPr>
                <w:rFonts w:ascii="仿宋_GB2312"/>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8.属于行政查询事项</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restart"/>
            <w:tcMar>
              <w:left w:w="108" w:type="dxa"/>
              <w:right w:w="108" w:type="dxa"/>
            </w:tcMar>
            <w:vAlign w:val="center"/>
          </w:tcPr>
          <w:p>
            <w:pPr>
              <w:widowControl/>
              <w:spacing w:line="400" w:lineRule="exact"/>
              <w:ind w:left="-163" w:leftChars="-51"/>
              <w:rPr>
                <w:rFonts w:ascii="仿宋_GB2312"/>
                <w:sz w:val="28"/>
                <w:szCs w:val="28"/>
              </w:rPr>
            </w:pPr>
            <w:r>
              <w:rPr>
                <w:rFonts w:hint="eastAsia" w:ascii="仿宋_GB2312" w:hAnsi="楷体" w:cs="楷体"/>
                <w:kern w:val="0"/>
                <w:sz w:val="28"/>
                <w:szCs w:val="28"/>
              </w:rPr>
              <w:t>（四）无法提供</w:t>
            </w: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1.本机关不掌握相关政府信息</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9</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ind w:left="-163" w:leftChars="-51"/>
              <w:rPr>
                <w:rFonts w:ascii="仿宋_GB2312"/>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2.没有现成信息需要另行制作</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ind w:left="-163" w:leftChars="-51"/>
              <w:rPr>
                <w:rFonts w:ascii="仿宋_GB2312"/>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3.补正后申请内容仍不明确</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restart"/>
            <w:tcMar>
              <w:left w:w="108" w:type="dxa"/>
              <w:right w:w="108" w:type="dxa"/>
            </w:tcMar>
            <w:vAlign w:val="center"/>
          </w:tcPr>
          <w:p>
            <w:pPr>
              <w:widowControl/>
              <w:spacing w:line="400" w:lineRule="exact"/>
              <w:ind w:left="-163" w:leftChars="-51"/>
              <w:rPr>
                <w:rFonts w:ascii="仿宋_GB2312"/>
                <w:sz w:val="28"/>
                <w:szCs w:val="28"/>
              </w:rPr>
            </w:pPr>
            <w:r>
              <w:rPr>
                <w:rFonts w:hint="eastAsia" w:ascii="仿宋_GB2312" w:hAnsi="楷体" w:cs="楷体"/>
                <w:kern w:val="0"/>
                <w:sz w:val="28"/>
                <w:szCs w:val="28"/>
              </w:rPr>
              <w:t>（五）不予处理</w:t>
            </w: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1.信访举报投诉类申请</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rPr>
                <w:rFonts w:ascii="仿宋_GB2312"/>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2.重复申请</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rPr>
                <w:rFonts w:ascii="仿宋_GB2312"/>
                <w:sz w:val="28"/>
                <w:szCs w:val="28"/>
              </w:rPr>
            </w:pPr>
          </w:p>
        </w:tc>
        <w:tc>
          <w:tcPr>
            <w:tcW w:w="3370" w:type="dxa"/>
            <w:tcMar>
              <w:left w:w="108" w:type="dxa"/>
              <w:right w:w="108" w:type="dxa"/>
            </w:tcMar>
            <w:vAlign w:val="center"/>
          </w:tcPr>
          <w:p>
            <w:pPr>
              <w:widowControl/>
              <w:spacing w:line="400" w:lineRule="exact"/>
              <w:rPr>
                <w:rFonts w:ascii="仿宋_GB2312"/>
                <w:sz w:val="28"/>
                <w:szCs w:val="28"/>
              </w:rPr>
            </w:pPr>
            <w:r>
              <w:rPr>
                <w:rFonts w:hint="eastAsia" w:ascii="仿宋_GB2312" w:hAnsi="楷体" w:cs="楷体"/>
                <w:kern w:val="0"/>
                <w:sz w:val="28"/>
                <w:szCs w:val="28"/>
              </w:rPr>
              <w:t>3.要求提供公开出版物</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rPr>
                <w:rFonts w:ascii="仿宋_GB2312"/>
                <w:sz w:val="28"/>
                <w:szCs w:val="28"/>
              </w:rPr>
            </w:pPr>
          </w:p>
        </w:tc>
        <w:tc>
          <w:tcPr>
            <w:tcW w:w="3370" w:type="dxa"/>
            <w:tcMar>
              <w:left w:w="108" w:type="dxa"/>
              <w:right w:w="108" w:type="dxa"/>
            </w:tcMar>
            <w:vAlign w:val="center"/>
          </w:tcPr>
          <w:p>
            <w:pPr>
              <w:widowControl/>
              <w:spacing w:line="400" w:lineRule="exact"/>
              <w:rPr>
                <w:rFonts w:ascii="仿宋_GB2312"/>
                <w:sz w:val="28"/>
                <w:szCs w:val="28"/>
              </w:rPr>
            </w:pPr>
            <w:r>
              <w:rPr>
                <w:rFonts w:hint="eastAsia" w:ascii="仿宋_GB2312" w:hAnsi="楷体" w:cs="楷体"/>
                <w:kern w:val="0"/>
                <w:sz w:val="28"/>
                <w:szCs w:val="28"/>
              </w:rPr>
              <w:t>4.无正当理由大量反复申请</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spacing w:line="400" w:lineRule="exact"/>
              <w:rPr>
                <w:rFonts w:ascii="仿宋_GB2312"/>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5.要求行政机关确认或重新</w:t>
            </w:r>
          </w:p>
          <w:p>
            <w:pPr>
              <w:widowControl/>
              <w:spacing w:line="400" w:lineRule="exact"/>
              <w:rPr>
                <w:rFonts w:ascii="仿宋_GB2312"/>
                <w:sz w:val="28"/>
                <w:szCs w:val="28"/>
              </w:rPr>
            </w:pPr>
            <w:r>
              <w:rPr>
                <w:rFonts w:hint="eastAsia" w:ascii="仿宋_GB2312" w:hAnsi="楷体" w:cs="楷体"/>
                <w:kern w:val="0"/>
                <w:sz w:val="28"/>
                <w:szCs w:val="28"/>
              </w:rPr>
              <w:t>出具已获取信息</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1"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restart"/>
            <w:tcMar>
              <w:left w:w="108" w:type="dxa"/>
              <w:right w:w="108" w:type="dxa"/>
            </w:tcMar>
            <w:vAlign w:val="center"/>
          </w:tcPr>
          <w:p>
            <w:pPr>
              <w:widowControl/>
              <w:spacing w:line="400" w:lineRule="exact"/>
              <w:rPr>
                <w:rFonts w:ascii="仿宋_GB2312"/>
                <w:sz w:val="28"/>
                <w:szCs w:val="28"/>
              </w:rPr>
            </w:pPr>
            <w:r>
              <w:rPr>
                <w:rFonts w:hint="eastAsia" w:ascii="仿宋_GB2312" w:hAnsi="楷体" w:cs="楷体"/>
                <w:kern w:val="0"/>
                <w:sz w:val="28"/>
                <w:szCs w:val="28"/>
              </w:rPr>
              <w:t>（六）其他处理</w:t>
            </w: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1.申请人无正当理由逾期不补正、行政机关不再处理其政府信息公开申请</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5"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widowControl/>
              <w:spacing w:line="400" w:lineRule="exact"/>
              <w:rPr>
                <w:rFonts w:ascii="仿宋_GB2312" w:hAnsi="楷体" w:cs="楷体"/>
                <w:kern w:val="0"/>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2.申请人逾期未按首富通知要求缴纳费用、行政机关不再处理其政府信息公开申请</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983" w:type="dxa"/>
            <w:vMerge w:val="continue"/>
            <w:tcMar>
              <w:left w:w="108" w:type="dxa"/>
              <w:right w:w="108" w:type="dxa"/>
            </w:tcMar>
            <w:vAlign w:val="center"/>
          </w:tcPr>
          <w:p>
            <w:pPr>
              <w:widowControl/>
              <w:spacing w:line="400" w:lineRule="exact"/>
              <w:rPr>
                <w:rFonts w:ascii="仿宋_GB2312" w:hAnsi="楷体" w:cs="楷体"/>
                <w:kern w:val="0"/>
                <w:sz w:val="28"/>
                <w:szCs w:val="28"/>
              </w:rPr>
            </w:pPr>
          </w:p>
        </w:tc>
        <w:tc>
          <w:tcPr>
            <w:tcW w:w="3370" w:type="dxa"/>
            <w:tcMar>
              <w:left w:w="108" w:type="dxa"/>
              <w:right w:w="108" w:type="dxa"/>
            </w:tcMar>
            <w:vAlign w:val="center"/>
          </w:tcPr>
          <w:p>
            <w:pPr>
              <w:widowControl/>
              <w:spacing w:line="400" w:lineRule="exact"/>
              <w:rPr>
                <w:rFonts w:ascii="仿宋_GB2312" w:hAnsi="楷体" w:cs="楷体"/>
                <w:kern w:val="0"/>
                <w:sz w:val="28"/>
                <w:szCs w:val="28"/>
              </w:rPr>
            </w:pPr>
            <w:r>
              <w:rPr>
                <w:rFonts w:hint="eastAsia" w:ascii="仿宋_GB2312" w:hAnsi="楷体" w:cs="楷体"/>
                <w:kern w:val="0"/>
                <w:sz w:val="28"/>
                <w:szCs w:val="28"/>
              </w:rPr>
              <w:t>3.其他</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5</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25" w:type="dxa"/>
            <w:vMerge w:val="continue"/>
            <w:tcMar>
              <w:left w:w="108" w:type="dxa"/>
              <w:right w:w="108" w:type="dxa"/>
            </w:tcMar>
            <w:vAlign w:val="center"/>
          </w:tcPr>
          <w:p>
            <w:pPr>
              <w:spacing w:line="400" w:lineRule="exact"/>
              <w:rPr>
                <w:rFonts w:ascii="仿宋_GB2312"/>
                <w:sz w:val="28"/>
                <w:szCs w:val="28"/>
              </w:rPr>
            </w:pPr>
          </w:p>
        </w:tc>
        <w:tc>
          <w:tcPr>
            <w:tcW w:w="4353" w:type="dxa"/>
            <w:gridSpan w:val="2"/>
            <w:tcMar>
              <w:left w:w="108" w:type="dxa"/>
              <w:right w:w="108" w:type="dxa"/>
            </w:tcMar>
            <w:vAlign w:val="center"/>
          </w:tcPr>
          <w:p>
            <w:pPr>
              <w:widowControl/>
              <w:spacing w:line="400" w:lineRule="exact"/>
              <w:rPr>
                <w:rFonts w:ascii="仿宋_GB2312"/>
                <w:sz w:val="28"/>
                <w:szCs w:val="28"/>
              </w:rPr>
            </w:pPr>
            <w:r>
              <w:rPr>
                <w:rFonts w:hint="eastAsia" w:ascii="仿宋_GB2312" w:hAnsi="楷体" w:cs="楷体"/>
                <w:kern w:val="0"/>
                <w:sz w:val="28"/>
                <w:szCs w:val="28"/>
              </w:rPr>
              <w:t>（七）总计</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57</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78" w:type="dxa"/>
            <w:gridSpan w:val="3"/>
            <w:tcMar>
              <w:left w:w="108" w:type="dxa"/>
              <w:right w:w="108" w:type="dxa"/>
            </w:tcMar>
            <w:vAlign w:val="center"/>
          </w:tcPr>
          <w:p>
            <w:pPr>
              <w:widowControl/>
              <w:spacing w:line="400" w:lineRule="exact"/>
              <w:rPr>
                <w:rFonts w:ascii="仿宋_GB2312"/>
                <w:sz w:val="28"/>
                <w:szCs w:val="28"/>
              </w:rPr>
            </w:pPr>
            <w:r>
              <w:rPr>
                <w:rFonts w:hint="eastAsia" w:ascii="仿宋_GB2312" w:hAnsi="楷体" w:cs="楷体"/>
                <w:kern w:val="0"/>
                <w:sz w:val="28"/>
                <w:szCs w:val="28"/>
              </w:rPr>
              <w:t>四、结转下年度继续办理</w:t>
            </w:r>
          </w:p>
        </w:tc>
        <w:tc>
          <w:tcPr>
            <w:tcW w:w="85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2</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67"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540"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0</w:t>
            </w:r>
          </w:p>
        </w:tc>
        <w:tc>
          <w:tcPr>
            <w:tcW w:w="635" w:type="dxa"/>
            <w:tcMar>
              <w:left w:w="108" w:type="dxa"/>
              <w:right w:w="108" w:type="dxa"/>
            </w:tcMar>
            <w:vAlign w:val="center"/>
          </w:tcPr>
          <w:p>
            <w:pPr>
              <w:widowControl/>
              <w:spacing w:line="400" w:lineRule="exact"/>
              <w:jc w:val="center"/>
              <w:rPr>
                <w:rFonts w:ascii="仿宋_GB2312" w:hAnsi="仿宋_GB2312" w:cs="仿宋_GB2312"/>
                <w:sz w:val="28"/>
                <w:szCs w:val="28"/>
              </w:rPr>
            </w:pPr>
            <w:r>
              <w:rPr>
                <w:rFonts w:hint="eastAsia" w:ascii="仿宋_GB2312" w:hAnsi="仿宋_GB2312" w:cs="仿宋_GB2312"/>
                <w:sz w:val="28"/>
                <w:szCs w:val="28"/>
              </w:rPr>
              <w:t>2</w:t>
            </w:r>
          </w:p>
        </w:tc>
      </w:tr>
    </w:tbl>
    <w:p>
      <w:pPr>
        <w:numPr>
          <w:ilvl w:val="0"/>
          <w:numId w:val="3"/>
        </w:numPr>
        <w:spacing w:line="560" w:lineRule="exact"/>
        <w:ind w:firstLine="640" w:firstLineChars="200"/>
        <w:rPr>
          <w:rFonts w:ascii="黑体" w:hAnsi="黑体" w:eastAsia="黑体" w:cs="黑体"/>
          <w:szCs w:val="32"/>
        </w:rPr>
      </w:pPr>
      <w:r>
        <w:rPr>
          <w:rFonts w:hint="eastAsia" w:ascii="黑体" w:hAnsi="黑体" w:eastAsia="黑体" w:cs="黑体"/>
          <w:szCs w:val="32"/>
        </w:rPr>
        <w:t>政府信息公开行政复议、行政诉讼情况</w:t>
      </w:r>
    </w:p>
    <w:tbl>
      <w:tblPr>
        <w:tblStyle w:val="5"/>
        <w:tblW w:w="9075" w:type="dxa"/>
        <w:jc w:val="center"/>
        <w:tblCellSpacing w:w="0" w:type="dxa"/>
        <w:tblLayout w:type="autofit"/>
        <w:tblCellMar>
          <w:top w:w="0" w:type="dxa"/>
          <w:left w:w="0" w:type="dxa"/>
          <w:bottom w:w="0" w:type="dxa"/>
          <w:right w:w="0" w:type="dxa"/>
        </w:tblCellMar>
      </w:tblPr>
      <w:tblGrid>
        <w:gridCol w:w="600"/>
        <w:gridCol w:w="600"/>
        <w:gridCol w:w="600"/>
        <w:gridCol w:w="600"/>
        <w:gridCol w:w="675"/>
        <w:gridCol w:w="555"/>
        <w:gridCol w:w="600"/>
        <w:gridCol w:w="600"/>
        <w:gridCol w:w="600"/>
        <w:gridCol w:w="615"/>
        <w:gridCol w:w="600"/>
        <w:gridCol w:w="600"/>
        <w:gridCol w:w="600"/>
        <w:gridCol w:w="600"/>
        <w:gridCol w:w="630"/>
      </w:tblGrid>
      <w:tr>
        <w:tblPrEx>
          <w:tblCellMar>
            <w:top w:w="0" w:type="dxa"/>
            <w:left w:w="0" w:type="dxa"/>
            <w:bottom w:w="0" w:type="dxa"/>
            <w:right w:w="0" w:type="dxa"/>
          </w:tblCellMar>
        </w:tblPrEx>
        <w:trPr>
          <w:tblCellSpacing w:w="0" w:type="dxa"/>
          <w:jc w:val="center"/>
        </w:trPr>
        <w:tc>
          <w:tcPr>
            <w:tcW w:w="3075" w:type="dxa"/>
            <w:gridSpan w:val="5"/>
            <w:tcBorders>
              <w:top w:val="single" w:color="auto" w:sz="4" w:space="0"/>
              <w:left w:val="single" w:color="auto" w:sz="6"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行政复议</w:t>
            </w:r>
          </w:p>
        </w:tc>
        <w:tc>
          <w:tcPr>
            <w:tcW w:w="6000" w:type="dxa"/>
            <w:gridSpan w:val="10"/>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行政诉讼</w:t>
            </w:r>
          </w:p>
        </w:tc>
      </w:tr>
      <w:tr>
        <w:tblPrEx>
          <w:tblCellMar>
            <w:top w:w="0" w:type="dxa"/>
            <w:left w:w="0" w:type="dxa"/>
            <w:bottom w:w="0" w:type="dxa"/>
            <w:right w:w="0" w:type="dxa"/>
          </w:tblCellMar>
        </w:tblPrEx>
        <w:trPr>
          <w:tblCellSpacing w:w="0" w:type="dxa"/>
          <w:jc w:val="center"/>
        </w:trPr>
        <w:tc>
          <w:tcPr>
            <w:tcW w:w="600" w:type="dxa"/>
            <w:vMerge w:val="restart"/>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结果维持</w:t>
            </w:r>
          </w:p>
        </w:tc>
        <w:tc>
          <w:tcPr>
            <w:tcW w:w="600" w:type="dxa"/>
            <w:vMerge w:val="restart"/>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结果纠正</w:t>
            </w:r>
          </w:p>
        </w:tc>
        <w:tc>
          <w:tcPr>
            <w:tcW w:w="600" w:type="dxa"/>
            <w:vMerge w:val="restart"/>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其他结果</w:t>
            </w:r>
          </w:p>
        </w:tc>
        <w:tc>
          <w:tcPr>
            <w:tcW w:w="600" w:type="dxa"/>
            <w:vMerge w:val="restart"/>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尚未审结</w:t>
            </w:r>
          </w:p>
        </w:tc>
        <w:tc>
          <w:tcPr>
            <w:tcW w:w="675" w:type="dxa"/>
            <w:vMerge w:val="restart"/>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总计</w:t>
            </w:r>
          </w:p>
        </w:tc>
        <w:tc>
          <w:tcPr>
            <w:tcW w:w="2970" w:type="dxa"/>
            <w:gridSpan w:val="5"/>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未经复议直接起诉</w:t>
            </w:r>
          </w:p>
        </w:tc>
        <w:tc>
          <w:tcPr>
            <w:tcW w:w="3030" w:type="dxa"/>
            <w:gridSpan w:val="5"/>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复议后起诉</w:t>
            </w:r>
          </w:p>
        </w:tc>
      </w:tr>
      <w:tr>
        <w:tblPrEx>
          <w:tblCellMar>
            <w:top w:w="0" w:type="dxa"/>
            <w:left w:w="0" w:type="dxa"/>
            <w:bottom w:w="0" w:type="dxa"/>
            <w:right w:w="0" w:type="dxa"/>
          </w:tblCellMar>
        </w:tblPrEx>
        <w:trPr>
          <w:tblCellSpacing w:w="0" w:type="dxa"/>
          <w:jc w:val="center"/>
        </w:trPr>
        <w:tc>
          <w:tcPr>
            <w:tcW w:w="600" w:type="dxa"/>
            <w:vMerge w:val="continue"/>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spacing w:line="400" w:lineRule="exact"/>
              <w:rPr>
                <w:rFonts w:ascii="仿宋_GB2312"/>
                <w:sz w:val="28"/>
                <w:szCs w:val="28"/>
              </w:rPr>
            </w:pPr>
          </w:p>
        </w:tc>
        <w:tc>
          <w:tcPr>
            <w:tcW w:w="600" w:type="dxa"/>
            <w:vMerge w:val="continue"/>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spacing w:line="400" w:lineRule="exact"/>
              <w:rPr>
                <w:rFonts w:ascii="仿宋_GB2312"/>
                <w:sz w:val="28"/>
                <w:szCs w:val="28"/>
              </w:rPr>
            </w:pPr>
          </w:p>
        </w:tc>
        <w:tc>
          <w:tcPr>
            <w:tcW w:w="600" w:type="dxa"/>
            <w:vMerge w:val="continue"/>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spacing w:line="400" w:lineRule="exact"/>
              <w:rPr>
                <w:rFonts w:ascii="仿宋_GB2312"/>
                <w:sz w:val="28"/>
                <w:szCs w:val="28"/>
              </w:rPr>
            </w:pPr>
          </w:p>
        </w:tc>
        <w:tc>
          <w:tcPr>
            <w:tcW w:w="600" w:type="dxa"/>
            <w:vMerge w:val="continue"/>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spacing w:line="400" w:lineRule="exact"/>
              <w:rPr>
                <w:rFonts w:ascii="仿宋_GB2312"/>
                <w:sz w:val="28"/>
                <w:szCs w:val="28"/>
              </w:rPr>
            </w:pPr>
          </w:p>
        </w:tc>
        <w:tc>
          <w:tcPr>
            <w:tcW w:w="675" w:type="dxa"/>
            <w:vMerge w:val="continue"/>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spacing w:line="400" w:lineRule="exact"/>
              <w:rPr>
                <w:rFonts w:ascii="仿宋_GB2312"/>
                <w:sz w:val="28"/>
                <w:szCs w:val="28"/>
              </w:rPr>
            </w:pPr>
          </w:p>
        </w:tc>
        <w:tc>
          <w:tcPr>
            <w:tcW w:w="555" w:type="dxa"/>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结果维持</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结果纠正</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其他结果</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尚未审结</w:t>
            </w:r>
          </w:p>
        </w:tc>
        <w:tc>
          <w:tcPr>
            <w:tcW w:w="615" w:type="dxa"/>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总计</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结果维持</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结果纠正</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其他结果</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尚未审结</w:t>
            </w:r>
          </w:p>
        </w:tc>
        <w:tc>
          <w:tcPr>
            <w:tcW w:w="630" w:type="dxa"/>
            <w:tcBorders>
              <w:top w:val="single" w:color="auto" w:sz="4" w:space="0"/>
              <w:left w:val="single" w:color="auto" w:sz="4" w:space="0"/>
              <w:bottom w:val="single" w:color="auto" w:sz="4" w:space="0"/>
              <w:right w:val="single" w:color="auto" w:sz="4" w:space="0"/>
            </w:tcBorders>
            <w:tcMar>
              <w:left w:w="105" w:type="dxa"/>
              <w:right w:w="105" w:type="dxa"/>
            </w:tcMar>
            <w:vAlign w:val="center"/>
          </w:tcPr>
          <w:p>
            <w:pPr>
              <w:pStyle w:val="4"/>
              <w:widowControl/>
              <w:spacing w:beforeAutospacing="0" w:afterAutospacing="0" w:line="400" w:lineRule="exact"/>
              <w:jc w:val="center"/>
              <w:rPr>
                <w:rFonts w:ascii="仿宋_GB2312"/>
                <w:color w:val="333333"/>
                <w:sz w:val="28"/>
                <w:szCs w:val="28"/>
              </w:rPr>
            </w:pPr>
            <w:r>
              <w:rPr>
                <w:rFonts w:hint="eastAsia" w:ascii="仿宋_GB2312" w:hAnsi="宋体" w:cs="宋体"/>
                <w:color w:val="333333"/>
                <w:sz w:val="28"/>
                <w:szCs w:val="28"/>
              </w:rPr>
              <w:t>总计</w:t>
            </w:r>
          </w:p>
        </w:tc>
      </w:tr>
      <w:tr>
        <w:tblPrEx>
          <w:tblCellMar>
            <w:top w:w="0" w:type="dxa"/>
            <w:left w:w="0" w:type="dxa"/>
            <w:bottom w:w="0" w:type="dxa"/>
            <w:right w:w="0" w:type="dxa"/>
          </w:tblCellMar>
        </w:tblPrEx>
        <w:trPr>
          <w:tblCellSpacing w:w="0" w:type="dxa"/>
          <w:jc w:val="center"/>
        </w:trPr>
        <w:tc>
          <w:tcPr>
            <w:tcW w:w="60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675"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555"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1</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615"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1</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60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c>
          <w:tcPr>
            <w:tcW w:w="630" w:type="dxa"/>
            <w:tcBorders>
              <w:top w:val="single" w:color="auto" w:sz="4" w:space="0"/>
              <w:left w:val="single" w:color="auto" w:sz="4" w:space="0"/>
              <w:bottom w:val="single" w:color="auto" w:sz="4" w:space="0"/>
              <w:right w:val="single" w:color="auto" w:sz="4" w:space="0"/>
            </w:tcBorders>
            <w:tcMar>
              <w:left w:w="105" w:type="dxa"/>
              <w:right w:w="105" w:type="dxa"/>
            </w:tcMar>
          </w:tcPr>
          <w:p>
            <w:pPr>
              <w:pStyle w:val="4"/>
              <w:widowControl/>
              <w:spacing w:beforeAutospacing="0" w:afterAutospacing="0" w:line="400" w:lineRule="exact"/>
              <w:jc w:val="center"/>
              <w:rPr>
                <w:rFonts w:ascii="仿宋_GB2312"/>
                <w:color w:val="333333"/>
                <w:sz w:val="28"/>
                <w:szCs w:val="28"/>
              </w:rPr>
            </w:pPr>
            <w:r>
              <w:rPr>
                <w:rFonts w:hint="eastAsia" w:ascii="仿宋_GB2312" w:hAnsi="Calibri" w:cs="Calibri"/>
                <w:color w:val="333333"/>
                <w:sz w:val="28"/>
                <w:szCs w:val="28"/>
              </w:rPr>
              <w:t>0</w:t>
            </w:r>
          </w:p>
        </w:tc>
      </w:tr>
    </w:tbl>
    <w:p>
      <w:pPr>
        <w:numPr>
          <w:ilvl w:val="0"/>
          <w:numId w:val="3"/>
        </w:numPr>
        <w:spacing w:line="560" w:lineRule="exact"/>
        <w:ind w:firstLine="640" w:firstLineChars="200"/>
        <w:rPr>
          <w:rFonts w:ascii="黑体" w:hAnsi="黑体" w:eastAsia="黑体" w:cs="黑体"/>
          <w:szCs w:val="32"/>
        </w:rPr>
      </w:pPr>
      <w:r>
        <w:rPr>
          <w:rFonts w:hint="eastAsia" w:ascii="黑体" w:hAnsi="黑体" w:eastAsia="黑体" w:cs="黑体"/>
          <w:szCs w:val="32"/>
        </w:rPr>
        <w:t>存在的主要问题及改进情况</w:t>
      </w:r>
    </w:p>
    <w:p>
      <w:pPr>
        <w:pStyle w:val="4"/>
        <w:widowControl/>
        <w:spacing w:beforeAutospacing="0" w:afterAutospacing="0" w:line="560" w:lineRule="exact"/>
        <w:ind w:firstLine="646"/>
        <w:jc w:val="both"/>
        <w:rPr>
          <w:rFonts w:ascii="仿宋_GB2312" w:hAnsi="仿宋_GB2312" w:cs="仿宋_GB2312"/>
          <w:kern w:val="2"/>
          <w:sz w:val="32"/>
          <w:szCs w:val="32"/>
        </w:rPr>
      </w:pPr>
      <w:r>
        <w:rPr>
          <w:rFonts w:hint="eastAsia" w:ascii="仿宋_GB2312" w:hAnsi="仿宋_GB2312" w:cs="仿宋_GB2312"/>
          <w:kern w:val="2"/>
          <w:sz w:val="32"/>
          <w:szCs w:val="32"/>
        </w:rPr>
        <w:t>2022 年虽然商河县政务公开取得一定成绩，但与全面深化政务公开要求和人民群众的期待相比，仍显不足，主要表现在：</w:t>
      </w:r>
    </w:p>
    <w:p>
      <w:pPr>
        <w:pStyle w:val="4"/>
        <w:widowControl/>
        <w:spacing w:beforeAutospacing="0" w:afterAutospacing="0" w:line="560" w:lineRule="exact"/>
        <w:ind w:firstLine="646"/>
        <w:jc w:val="both"/>
        <w:rPr>
          <w:rFonts w:ascii="仿宋_GB2312" w:hAnsi="仿宋_GB2312" w:cs="仿宋_GB2312"/>
          <w:kern w:val="2"/>
          <w:sz w:val="32"/>
          <w:szCs w:val="32"/>
        </w:rPr>
      </w:pPr>
      <w:r>
        <w:rPr>
          <w:rFonts w:hint="eastAsia" w:ascii="仿宋_GB2312" w:hAnsi="仿宋_GB2312" w:cs="仿宋_GB2312"/>
          <w:kern w:val="2"/>
          <w:sz w:val="32"/>
          <w:szCs w:val="32"/>
        </w:rPr>
        <w:t>一是各镇街、各部门依申请公开工作水平有待提升。通过日常检测发现，仍有单位存在答复内容不够规范、未告知救济渠道、未加盖公章等问题。</w:t>
      </w:r>
    </w:p>
    <w:p>
      <w:pPr>
        <w:pStyle w:val="4"/>
        <w:widowControl/>
        <w:spacing w:beforeAutospacing="0" w:afterAutospacing="0" w:line="560" w:lineRule="exact"/>
        <w:ind w:firstLine="646"/>
        <w:jc w:val="both"/>
        <w:rPr>
          <w:rFonts w:ascii="仿宋_GB2312" w:hAnsi="宋体" w:cs="仿宋_GB2312"/>
          <w:color w:val="000000"/>
          <w:sz w:val="32"/>
          <w:szCs w:val="32"/>
          <w:shd w:val="clear" w:color="auto" w:fill="FFFFFF"/>
        </w:rPr>
      </w:pPr>
      <w:r>
        <w:rPr>
          <w:rFonts w:hint="eastAsia" w:ascii="仿宋_GB2312" w:hAnsi="仿宋_GB2312" w:cs="仿宋_GB2312"/>
          <w:kern w:val="2"/>
          <w:sz w:val="32"/>
          <w:szCs w:val="32"/>
        </w:rPr>
        <w:t>二是各镇街、各部门基层政务公开工作水平有待提升。由于部分单位负责政务公开的基层工作人员时常更换、人员流动性大，</w:t>
      </w:r>
      <w:r>
        <w:rPr>
          <w:rFonts w:hint="eastAsia" w:ascii="仿宋_GB2312" w:hAnsi="宋体" w:cs="仿宋_GB2312"/>
          <w:color w:val="000000"/>
          <w:sz w:val="32"/>
          <w:szCs w:val="32"/>
          <w:shd w:val="clear" w:color="auto" w:fill="FFFFFF"/>
        </w:rPr>
        <w:t>接替人员工作衔接不到位</w:t>
      </w:r>
      <w:r>
        <w:rPr>
          <w:rFonts w:hint="eastAsia" w:ascii="仿宋_GB2312" w:hAnsi="仿宋_GB2312" w:cs="仿宋_GB2312"/>
          <w:kern w:val="2"/>
          <w:sz w:val="32"/>
          <w:szCs w:val="32"/>
        </w:rPr>
        <w:t>，存在业务不熟悉、流程不规范等问题，导致业务能力不高、工作没有连续性，</w:t>
      </w:r>
      <w:r>
        <w:rPr>
          <w:rFonts w:hint="eastAsia" w:ascii="仿宋_GB2312" w:hAnsi="宋体" w:cs="仿宋_GB2312"/>
          <w:color w:val="000000"/>
          <w:sz w:val="32"/>
          <w:szCs w:val="32"/>
          <w:shd w:val="clear" w:color="auto" w:fill="FFFFFF"/>
        </w:rPr>
        <w:t>影响了工作水平的提升。</w:t>
      </w:r>
    </w:p>
    <w:p>
      <w:pPr>
        <w:widowControl/>
        <w:spacing w:line="560" w:lineRule="exact"/>
        <w:ind w:firstLine="640" w:firstLineChars="200"/>
        <w:jc w:val="left"/>
        <w:rPr>
          <w:rFonts w:ascii="仿宋_GB2312" w:hAnsi="宋体" w:cs="仿宋_GB2312"/>
          <w:color w:val="000000"/>
          <w:szCs w:val="32"/>
          <w:shd w:val="clear" w:color="auto" w:fill="FFFFFF"/>
        </w:rPr>
      </w:pPr>
      <w:r>
        <w:rPr>
          <w:rFonts w:hint="eastAsia" w:ascii="仿宋_GB2312" w:hAnsi="宋体" w:cs="仿宋_GB2312"/>
          <w:color w:val="000000"/>
          <w:kern w:val="0"/>
          <w:szCs w:val="32"/>
          <w:lang w:bidi="ar"/>
        </w:rPr>
        <w:t>三是公开平台信息发布管理有待提升。有的单位在政府网站、政务新媒体平台发布的信息存在错敏词、错别字等问题。</w:t>
      </w:r>
    </w:p>
    <w:p>
      <w:pPr>
        <w:pStyle w:val="4"/>
        <w:widowControl/>
        <w:spacing w:beforeAutospacing="0" w:afterAutospacing="0" w:line="560" w:lineRule="exact"/>
        <w:ind w:firstLine="646"/>
        <w:jc w:val="both"/>
        <w:rPr>
          <w:rFonts w:ascii="仿宋_GB2312" w:hAnsi="仿宋_GB2312" w:cs="仿宋_GB2312"/>
          <w:kern w:val="2"/>
          <w:sz w:val="32"/>
          <w:szCs w:val="32"/>
        </w:rPr>
      </w:pPr>
      <w:r>
        <w:rPr>
          <w:rFonts w:hint="eastAsia" w:ascii="仿宋_GB2312" w:hAnsi="仿宋_GB2312" w:cs="仿宋_GB2312"/>
          <w:kern w:val="2"/>
          <w:sz w:val="32"/>
          <w:szCs w:val="32"/>
        </w:rPr>
        <w:t>针对以上问题， 我县进行了针对性的整改：</w:t>
      </w:r>
    </w:p>
    <w:p>
      <w:pPr>
        <w:pStyle w:val="4"/>
        <w:widowControl/>
        <w:spacing w:beforeAutospacing="0" w:afterAutospacing="0" w:line="560" w:lineRule="exact"/>
        <w:ind w:firstLine="646"/>
        <w:jc w:val="both"/>
        <w:rPr>
          <w:rFonts w:ascii="仿宋_GB2312" w:hAnsi="仿宋_GB2312" w:cs="仿宋_GB2312"/>
          <w:kern w:val="2"/>
          <w:sz w:val="32"/>
          <w:szCs w:val="32"/>
        </w:rPr>
      </w:pPr>
      <w:r>
        <w:rPr>
          <w:rFonts w:hint="eastAsia" w:ascii="仿宋_GB2312" w:hAnsi="仿宋_GB2312" w:cs="仿宋_GB2312"/>
          <w:kern w:val="2"/>
          <w:sz w:val="32"/>
          <w:szCs w:val="32"/>
        </w:rPr>
        <w:t>一是下发关于进一步做好依申请公开工作的通知，加强关于依申请公开的培训，以集中培训、集中办公、电话沟通等方式对依申请公开工作进行实时指导，持续规范依申请公开流程、答复文书格式，增强答复针对性。二是强化对工作薄弱的镇街和部门开展工作指导，大力开展新人业务培训，</w:t>
      </w:r>
      <w:r>
        <w:rPr>
          <w:rFonts w:hint="eastAsia" w:ascii="仿宋_GB2312" w:hAnsi="仿宋" w:cs="仿宋"/>
          <w:color w:val="000000"/>
          <w:sz w:val="32"/>
          <w:szCs w:val="32"/>
          <w:shd w:val="clear" w:color="auto" w:fill="FFFFFF"/>
        </w:rPr>
        <w:t>以集中培训和个别指导相结合的方式常态化开展指导培训，</w:t>
      </w:r>
      <w:r>
        <w:rPr>
          <w:rFonts w:hint="eastAsia" w:ascii="仿宋_GB2312" w:hAnsi="仿宋_GB2312" w:cs="仿宋_GB2312"/>
          <w:kern w:val="2"/>
          <w:sz w:val="32"/>
          <w:szCs w:val="32"/>
        </w:rPr>
        <w:t>切实提高基层政务公开工作人员工作水平，</w:t>
      </w:r>
      <w:r>
        <w:rPr>
          <w:rFonts w:hint="eastAsia" w:ascii="仿宋_GB2312" w:hAnsi="仿宋" w:cs="仿宋"/>
          <w:color w:val="000000"/>
          <w:sz w:val="32"/>
          <w:szCs w:val="32"/>
          <w:shd w:val="clear" w:color="auto" w:fill="FFFFFF"/>
        </w:rPr>
        <w:t>持续加强政务公开基层队伍建设。三是加强政府网站和政务新媒体监督管理，规范发布相关信息。</w:t>
      </w:r>
    </w:p>
    <w:p>
      <w:pPr>
        <w:pStyle w:val="4"/>
        <w:widowControl/>
        <w:spacing w:beforeAutospacing="0" w:afterAutospacing="0" w:line="560" w:lineRule="exact"/>
        <w:ind w:firstLine="646"/>
        <w:jc w:val="both"/>
        <w:rPr>
          <w:rFonts w:ascii="仿宋_GB2312" w:hAnsi="仿宋_GB2312" w:cs="仿宋_GB2312"/>
          <w:kern w:val="2"/>
          <w:sz w:val="32"/>
          <w:szCs w:val="32"/>
        </w:rPr>
      </w:pPr>
      <w:r>
        <w:rPr>
          <w:rFonts w:hint="eastAsia" w:ascii="仿宋_GB2312" w:hAnsi="仿宋_GB2312" w:cs="仿宋_GB2312"/>
          <w:kern w:val="2"/>
          <w:sz w:val="32"/>
          <w:szCs w:val="32"/>
        </w:rPr>
        <w:t>下一步商河县将强化落实国家、省、市、区关于政务公开工作的部署要求，提升我县依申请公开工作水平，加大政务公开专项培训力度和频率，推动政务公开向纵深发展。</w:t>
      </w:r>
    </w:p>
    <w:p>
      <w:pPr>
        <w:spacing w:line="560" w:lineRule="exact"/>
        <w:ind w:firstLine="640" w:firstLineChars="200"/>
        <w:rPr>
          <w:rFonts w:ascii="黑体" w:hAnsi="黑体" w:eastAsia="黑体" w:cs="黑体"/>
          <w:szCs w:val="32"/>
        </w:rPr>
      </w:pPr>
      <w:r>
        <w:rPr>
          <w:rFonts w:hint="eastAsia" w:ascii="黑体" w:hAnsi="黑体" w:eastAsia="黑体" w:cs="黑体"/>
          <w:szCs w:val="32"/>
        </w:rPr>
        <w:t>六、其他需要报告的事项</w:t>
      </w:r>
    </w:p>
    <w:p>
      <w:pPr>
        <w:pStyle w:val="4"/>
        <w:widowControl/>
        <w:autoSpaceDE w:val="0"/>
        <w:spacing w:beforeAutospacing="0" w:afterAutospacing="0" w:line="560" w:lineRule="exact"/>
        <w:ind w:firstLine="640" w:firstLineChars="200"/>
        <w:jc w:val="both"/>
        <w:rPr>
          <w:rFonts w:ascii="楷体_GB2312" w:hAnsi="楷体" w:eastAsia="楷体_GB2312" w:cs="楷体"/>
          <w:kern w:val="2"/>
          <w:sz w:val="32"/>
          <w:szCs w:val="32"/>
        </w:rPr>
      </w:pPr>
      <w:r>
        <w:rPr>
          <w:rFonts w:hint="eastAsia" w:ascii="楷体_GB2312" w:hAnsi="楷体" w:eastAsia="楷体_GB2312" w:cs="楷体"/>
          <w:kern w:val="2"/>
          <w:sz w:val="32"/>
          <w:szCs w:val="32"/>
        </w:rPr>
        <w:t>一是依据《政府信息公开信息处理费管理办法》收取信息处理费的情况。</w:t>
      </w:r>
    </w:p>
    <w:p>
      <w:pPr>
        <w:pStyle w:val="4"/>
        <w:widowControl/>
        <w:spacing w:beforeAutospacing="0" w:afterAutospacing="0" w:line="560" w:lineRule="exact"/>
        <w:ind w:firstLine="646"/>
        <w:jc w:val="both"/>
        <w:rPr>
          <w:rFonts w:ascii="仿宋_GB2312" w:hAnsi="仿宋_GB2312" w:cs="仿宋_GB2312"/>
          <w:kern w:val="2"/>
          <w:sz w:val="32"/>
          <w:szCs w:val="32"/>
        </w:rPr>
      </w:pPr>
      <w:r>
        <w:rPr>
          <w:rFonts w:hint="eastAsia" w:ascii="仿宋_GB2312" w:hAnsi="仿宋_GB2312" w:cs="仿宋_GB2312"/>
          <w:kern w:val="2"/>
          <w:sz w:val="32"/>
          <w:szCs w:val="32"/>
        </w:rPr>
        <w:t>我县依申请提供政府信息，按照《国务院办公厅关于印发&lt;政府信息公开信息处理费管理办法&gt;的通知》（国办函〔2020〕109号）和《山东省人民政府办公厅关于做好政府信息公开信息处理费管理工作有关事项的通知》（鲁政办字〔2020〕179号）收取信息处理费。本年度我县依申请公开政府信息未收取任何费用。</w:t>
      </w:r>
    </w:p>
    <w:p>
      <w:pPr>
        <w:pStyle w:val="4"/>
        <w:widowControl/>
        <w:autoSpaceDE w:val="0"/>
        <w:spacing w:beforeAutospacing="0" w:afterAutospacing="0" w:line="560" w:lineRule="exact"/>
        <w:ind w:left="640" w:leftChars="200"/>
        <w:jc w:val="both"/>
        <w:rPr>
          <w:rFonts w:ascii="楷体_GB2312" w:hAnsi="楷体" w:eastAsia="楷体_GB2312" w:cs="楷体"/>
          <w:kern w:val="2"/>
          <w:sz w:val="32"/>
          <w:szCs w:val="32"/>
        </w:rPr>
      </w:pPr>
      <w:r>
        <w:rPr>
          <w:rFonts w:hint="eastAsia" w:ascii="楷体_GB2312" w:hAnsi="楷体" w:eastAsia="楷体_GB2312" w:cs="楷体"/>
          <w:kern w:val="2"/>
          <w:sz w:val="32"/>
          <w:szCs w:val="32"/>
        </w:rPr>
        <w:t>二是落实上级年度政务公开工作要点情况。</w:t>
      </w:r>
    </w:p>
    <w:p>
      <w:pPr>
        <w:pStyle w:val="4"/>
        <w:widowControl/>
        <w:spacing w:beforeAutospacing="0" w:afterAutospacing="0" w:line="560" w:lineRule="exact"/>
        <w:ind w:firstLine="646"/>
        <w:jc w:val="both"/>
        <w:rPr>
          <w:rFonts w:ascii="仿宋_GB2312" w:hAnsi="仿宋_GB2312" w:cs="仿宋_GB2312"/>
          <w:kern w:val="2"/>
          <w:sz w:val="32"/>
          <w:szCs w:val="32"/>
        </w:rPr>
      </w:pPr>
      <w:r>
        <w:rPr>
          <w:rFonts w:hint="eastAsia" w:ascii="仿宋_GB2312" w:hAnsi="仿宋_GB2312" w:cs="仿宋_GB2312"/>
          <w:kern w:val="2"/>
          <w:sz w:val="32"/>
          <w:szCs w:val="32"/>
        </w:rPr>
        <w:t>根据上级要求，制定印发《商河县2022年政务公开工作要点》。对本年度全市重点工作任务中涉及商河县的相关工作进行了细化分解，明确了各单位的工作任务和具体要求。工作落实中，一是突出重点领域。围绕高质量发展、优化营商环境、“六保”“六稳”、疫情防控等重点任务，组织相关单位全面做好重点领域信息公开。二是突出政民互动。常态化邀请市民代表列席县政府常务会议。开展政府开放日活动，认真听取群众意见建议。三是推进村（居）务公开。根据要点要求，全面推进政务公开工作向村居延伸。集中公开各村（居）涉农补贴申报信息及各类惠民惠农财政补贴资金实际发放结果信息，公开期满相关材料留存村委会供村民查询。</w:t>
      </w:r>
    </w:p>
    <w:p>
      <w:pPr>
        <w:pStyle w:val="4"/>
        <w:widowControl/>
        <w:autoSpaceDE w:val="0"/>
        <w:spacing w:beforeAutospacing="0" w:afterAutospacing="0" w:line="560" w:lineRule="exact"/>
        <w:ind w:left="640" w:leftChars="200"/>
        <w:jc w:val="both"/>
        <w:rPr>
          <w:rFonts w:ascii="楷体_GB2312" w:hAnsi="楷体" w:eastAsia="楷体_GB2312" w:cs="楷体"/>
          <w:kern w:val="2"/>
          <w:sz w:val="32"/>
          <w:szCs w:val="32"/>
        </w:rPr>
      </w:pPr>
      <w:r>
        <w:rPr>
          <w:rFonts w:hint="eastAsia" w:ascii="楷体_GB2312" w:hAnsi="楷体" w:eastAsia="楷体_GB2312" w:cs="楷体"/>
          <w:kern w:val="2"/>
          <w:sz w:val="32"/>
          <w:szCs w:val="32"/>
        </w:rPr>
        <w:t>三是人大代表建议、政协提案办理结果公开情况。</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2022年共接办县十九届人大一次会议代表建议和县政协十届一次会议委员提案共计265件，其中人大建议84件，政协提案181件，人大建议、政协提案办结率、面复率、满意率均达100%。</w:t>
      </w:r>
    </w:p>
    <w:p>
      <w:pPr>
        <w:pStyle w:val="4"/>
        <w:widowControl/>
        <w:autoSpaceDE w:val="0"/>
        <w:spacing w:beforeAutospacing="0" w:afterAutospacing="0" w:line="560" w:lineRule="exact"/>
        <w:ind w:firstLine="640" w:firstLineChars="200"/>
        <w:jc w:val="both"/>
        <w:rPr>
          <w:rFonts w:ascii="楷体_GB2312" w:hAnsi="楷体" w:eastAsia="楷体_GB2312" w:cs="楷体"/>
          <w:kern w:val="2"/>
          <w:sz w:val="32"/>
          <w:szCs w:val="32"/>
        </w:rPr>
      </w:pPr>
      <w:r>
        <w:rPr>
          <w:rFonts w:hint="eastAsia" w:ascii="楷体_GB2312" w:hAnsi="楷体" w:eastAsia="楷体_GB2312" w:cs="楷体"/>
          <w:kern w:val="2"/>
          <w:sz w:val="32"/>
          <w:szCs w:val="32"/>
        </w:rPr>
        <w:t>四是政务公开工作创新情况。</w:t>
      </w:r>
    </w:p>
    <w:p>
      <w:pPr>
        <w:pStyle w:val="4"/>
        <w:widowControl/>
        <w:spacing w:beforeAutospacing="0" w:afterAutospacing="0" w:line="560" w:lineRule="exact"/>
        <w:ind w:firstLine="640" w:firstLineChars="200"/>
        <w:rPr>
          <w:rFonts w:ascii="仿宋_GB2312" w:hAnsi="仿宋_GB2312" w:cs="仿宋_GB2312"/>
          <w:sz w:val="32"/>
          <w:szCs w:val="32"/>
        </w:rPr>
      </w:pPr>
      <w:r>
        <w:rPr>
          <w:rFonts w:hint="eastAsia" w:ascii="仿宋_GB2312" w:hAnsi="仿宋_GB2312" w:cs="仿宋_GB2312"/>
          <w:kern w:val="2"/>
          <w:sz w:val="32"/>
          <w:szCs w:val="32"/>
        </w:rPr>
        <w:t>2022年</w:t>
      </w:r>
      <w:r>
        <w:rPr>
          <w:rFonts w:hint="eastAsia" w:ascii="仿宋_GB2312" w:hAnsi="仿宋_GB2312" w:cs="仿宋_GB2312"/>
          <w:kern w:val="2"/>
          <w:sz w:val="32"/>
          <w:szCs w:val="32"/>
          <w:lang w:val="en-US" w:eastAsia="zh-CN"/>
        </w:rPr>
        <w:t>举办</w:t>
      </w:r>
      <w:r>
        <w:rPr>
          <w:rFonts w:hint="eastAsia" w:ascii="仿宋_GB2312" w:hAnsi="仿宋_GB2312" w:cs="仿宋_GB2312"/>
          <w:kern w:val="2"/>
          <w:sz w:val="32"/>
          <w:szCs w:val="32"/>
        </w:rPr>
        <w:t>了“公共企事业单位”专场开放日活动启动仪式，推出了以供水、供电、供气、公共交通、卫生健康等为主题的专场“公共企事业单位开放日”活动。公共企事业单位在活动中主动公开本单位的工作职能、运行情况及其他与群众密切相关的信息，解答群众关心关注的问题，同时发放调查问卷，对群众获取公共企事业单位信息公开的方式和意愿进行调查，使群众对公共企事业单位的工作有了全新认识，拉近政府与群众的距离，促进了政民互动沟通。</w:t>
      </w:r>
    </w:p>
    <w:p>
      <w:pPr>
        <w:spacing w:line="560" w:lineRule="exact"/>
        <w:ind w:firstLine="640" w:firstLineChars="200"/>
        <w:rPr>
          <w:rFonts w:ascii="楷体_GB2312" w:hAnsi="楷体" w:eastAsia="楷体_GB2312" w:cs="楷体"/>
          <w:szCs w:val="32"/>
        </w:rPr>
      </w:pPr>
      <w:r>
        <w:rPr>
          <w:rFonts w:hint="eastAsia" w:ascii="楷体_GB2312" w:hAnsi="楷体" w:eastAsia="楷体_GB2312" w:cs="楷体"/>
          <w:szCs w:val="32"/>
        </w:rPr>
        <w:t>五是本单位报告有关数据统计说明事项。</w:t>
      </w:r>
    </w:p>
    <w:p>
      <w:pPr>
        <w:spacing w:line="580" w:lineRule="exact"/>
        <w:ind w:firstLine="640" w:firstLineChars="200"/>
        <w:rPr>
          <w:rFonts w:ascii="仿宋_GB2312" w:hAnsi="仿宋_GB2312" w:cs="仿宋_GB2312"/>
          <w:szCs w:val="32"/>
        </w:rPr>
      </w:pPr>
      <w:r>
        <w:rPr>
          <w:rFonts w:hint="eastAsia" w:ascii="仿宋_GB2312" w:hAnsi="仿宋_GB2312" w:cs="仿宋_GB2312"/>
          <w:szCs w:val="32"/>
        </w:rPr>
        <w:t>收到和处理政府信息公开申请情况中第六项“其他处理”的5件为申请人信息不存在。</w:t>
      </w:r>
      <w:r>
        <w:rPr>
          <w:rFonts w:hint="eastAsia" w:ascii="仿宋_GB2312" w:hAnsi="仿宋_GB2312" w:cs="仿宋_GB2312"/>
          <w:kern w:val="0"/>
          <w:szCs w:val="32"/>
        </w:rPr>
        <w:t>本年度报告中所列数据统计期限从2022年1月1日到12月31日止。</w:t>
      </w:r>
    </w:p>
    <w:p>
      <w:pPr>
        <w:widowControl/>
        <w:spacing w:line="560" w:lineRule="exact"/>
        <w:ind w:firstLine="640"/>
        <w:jc w:val="left"/>
        <w:rPr>
          <w:rFonts w:ascii="楷体_GB2312" w:hAnsi="楷体" w:eastAsia="楷体_GB2312" w:cs="楷体"/>
          <w:szCs w:val="32"/>
        </w:rPr>
      </w:pPr>
      <w:r>
        <w:rPr>
          <w:rFonts w:hint="eastAsia" w:ascii="楷体_GB2312" w:hAnsi="楷体" w:eastAsia="楷体_GB2312" w:cs="楷体"/>
          <w:szCs w:val="32"/>
        </w:rPr>
        <w:t>六是本单位认为需要报告的其他事项，</w:t>
      </w:r>
      <w:r>
        <w:rPr>
          <w:rFonts w:hint="eastAsia" w:ascii="仿宋_GB2312" w:hAnsi="楷体" w:cs="楷体"/>
          <w:szCs w:val="32"/>
        </w:rPr>
        <w:t>无。</w:t>
      </w:r>
    </w:p>
    <w:p>
      <w:pPr>
        <w:widowControl/>
        <w:spacing w:line="560" w:lineRule="exact"/>
        <w:ind w:firstLine="640"/>
        <w:jc w:val="left"/>
        <w:rPr>
          <w:rFonts w:ascii="楷体_GB2312" w:hAnsi="楷体" w:eastAsia="楷体_GB2312" w:cs="楷体"/>
          <w:szCs w:val="32"/>
        </w:rPr>
      </w:pPr>
      <w:r>
        <w:rPr>
          <w:rFonts w:hint="eastAsia" w:ascii="楷体_GB2312" w:hAnsi="楷体" w:eastAsia="楷体_GB2312" w:cs="楷体"/>
          <w:szCs w:val="32"/>
        </w:rPr>
        <w:t>七是其他有关文件专门要求通过政府信息公开工作年度报告予以报告的事项，</w:t>
      </w:r>
      <w:r>
        <w:rPr>
          <w:rFonts w:hint="eastAsia" w:ascii="仿宋_GB2312" w:hAnsi="楷体" w:cs="楷体"/>
          <w:szCs w:val="32"/>
        </w:rPr>
        <w:t>无。</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onsolas">
    <w:panose1 w:val="020B0609020204030204"/>
    <w:charset w:val="00"/>
    <w:family w:val="modern"/>
    <w:pitch w:val="default"/>
    <w:sig w:usb0="E00006FF" w:usb1="0000FCFF" w:usb2="00000001" w:usb3="00000000" w:csb0="6000019F" w:csb1="DFD70000"/>
  </w:font>
  <w:font w:name="文星标宋">
    <w:panose1 w:val="0201060900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73872112"/>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59ADB7"/>
    <w:multiLevelType w:val="singleLevel"/>
    <w:tmpl w:val="AC59ADB7"/>
    <w:lvl w:ilvl="0" w:tentative="0">
      <w:start w:val="2"/>
      <w:numFmt w:val="chineseCounting"/>
      <w:suff w:val="nothing"/>
      <w:lvlText w:val="%1、"/>
      <w:lvlJc w:val="left"/>
      <w:rPr>
        <w:rFonts w:hint="eastAsia"/>
      </w:rPr>
    </w:lvl>
  </w:abstractNum>
  <w:abstractNum w:abstractNumId="1">
    <w:nsid w:val="C9982692"/>
    <w:multiLevelType w:val="singleLevel"/>
    <w:tmpl w:val="C9982692"/>
    <w:lvl w:ilvl="0" w:tentative="0">
      <w:start w:val="1"/>
      <w:numFmt w:val="chineseCounting"/>
      <w:suff w:val="nothing"/>
      <w:lvlText w:val="%1、"/>
      <w:lvlJc w:val="left"/>
      <w:rPr>
        <w:rFonts w:hint="eastAsia"/>
      </w:rPr>
    </w:lvl>
  </w:abstractNum>
  <w:abstractNum w:abstractNumId="2">
    <w:nsid w:val="D20D9DFC"/>
    <w:multiLevelType w:val="singleLevel"/>
    <w:tmpl w:val="D20D9DFC"/>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NjOTU5ZGUwNjg0YmE1YTY0ZTU0MzllMDU3ZmU2OTYifQ=="/>
    <w:docVar w:name="KSO_WPS_MARK_KEY" w:val="26ec5867-217e-4cde-b838-324793a312ae"/>
  </w:docVars>
  <w:rsids>
    <w:rsidRoot w:val="00715C26"/>
    <w:rsid w:val="00022F09"/>
    <w:rsid w:val="000A41FE"/>
    <w:rsid w:val="0010797C"/>
    <w:rsid w:val="00115043"/>
    <w:rsid w:val="0013348D"/>
    <w:rsid w:val="0016093F"/>
    <w:rsid w:val="002372C4"/>
    <w:rsid w:val="00247343"/>
    <w:rsid w:val="0030080A"/>
    <w:rsid w:val="00353683"/>
    <w:rsid w:val="003635F8"/>
    <w:rsid w:val="004623CA"/>
    <w:rsid w:val="005354E2"/>
    <w:rsid w:val="0054428A"/>
    <w:rsid w:val="005539A0"/>
    <w:rsid w:val="006E0C23"/>
    <w:rsid w:val="00712F24"/>
    <w:rsid w:val="00715C26"/>
    <w:rsid w:val="00807D2B"/>
    <w:rsid w:val="008659D8"/>
    <w:rsid w:val="009116D1"/>
    <w:rsid w:val="00921875"/>
    <w:rsid w:val="009332B3"/>
    <w:rsid w:val="009562BD"/>
    <w:rsid w:val="00961DA1"/>
    <w:rsid w:val="00A35CAA"/>
    <w:rsid w:val="00A76637"/>
    <w:rsid w:val="00AE5E9B"/>
    <w:rsid w:val="00B02B30"/>
    <w:rsid w:val="00B92FAC"/>
    <w:rsid w:val="00BB29FB"/>
    <w:rsid w:val="00C316AE"/>
    <w:rsid w:val="00D57F6B"/>
    <w:rsid w:val="00FF43AE"/>
    <w:rsid w:val="00FF5620"/>
    <w:rsid w:val="01675739"/>
    <w:rsid w:val="0269674E"/>
    <w:rsid w:val="02987B74"/>
    <w:rsid w:val="0328539C"/>
    <w:rsid w:val="046A3E97"/>
    <w:rsid w:val="04FF037E"/>
    <w:rsid w:val="05663F59"/>
    <w:rsid w:val="05C50C80"/>
    <w:rsid w:val="05F446F4"/>
    <w:rsid w:val="06A05249"/>
    <w:rsid w:val="06D05B2E"/>
    <w:rsid w:val="09D516AE"/>
    <w:rsid w:val="0A3B37B7"/>
    <w:rsid w:val="0AB37C41"/>
    <w:rsid w:val="0B344D98"/>
    <w:rsid w:val="0B61144B"/>
    <w:rsid w:val="0B7A075E"/>
    <w:rsid w:val="0EA3332B"/>
    <w:rsid w:val="10394744"/>
    <w:rsid w:val="10BB15FD"/>
    <w:rsid w:val="10C304B2"/>
    <w:rsid w:val="14294E67"/>
    <w:rsid w:val="15F15AC1"/>
    <w:rsid w:val="16201F02"/>
    <w:rsid w:val="183D3240"/>
    <w:rsid w:val="18F91D5F"/>
    <w:rsid w:val="1B6C00C4"/>
    <w:rsid w:val="1BE37C5A"/>
    <w:rsid w:val="1C980A44"/>
    <w:rsid w:val="1D5E1C8E"/>
    <w:rsid w:val="21313216"/>
    <w:rsid w:val="22835CF3"/>
    <w:rsid w:val="23DD1433"/>
    <w:rsid w:val="2480005C"/>
    <w:rsid w:val="26722306"/>
    <w:rsid w:val="2769195B"/>
    <w:rsid w:val="278E3170"/>
    <w:rsid w:val="27A44741"/>
    <w:rsid w:val="29471828"/>
    <w:rsid w:val="2A1F4553"/>
    <w:rsid w:val="2AA36F32"/>
    <w:rsid w:val="2B0674C1"/>
    <w:rsid w:val="2C444745"/>
    <w:rsid w:val="2CD0422B"/>
    <w:rsid w:val="2D695254"/>
    <w:rsid w:val="2DCA2A28"/>
    <w:rsid w:val="2F187776"/>
    <w:rsid w:val="305667F5"/>
    <w:rsid w:val="31CD6F8B"/>
    <w:rsid w:val="325D030E"/>
    <w:rsid w:val="34F30AB6"/>
    <w:rsid w:val="36854919"/>
    <w:rsid w:val="37A91900"/>
    <w:rsid w:val="38451629"/>
    <w:rsid w:val="38D46E50"/>
    <w:rsid w:val="391A2AB5"/>
    <w:rsid w:val="3B9A7EDD"/>
    <w:rsid w:val="3E854E75"/>
    <w:rsid w:val="3F6031EC"/>
    <w:rsid w:val="40E65973"/>
    <w:rsid w:val="413466DE"/>
    <w:rsid w:val="428E62C2"/>
    <w:rsid w:val="42DC6826"/>
    <w:rsid w:val="43A55671"/>
    <w:rsid w:val="43F403A7"/>
    <w:rsid w:val="44BA514C"/>
    <w:rsid w:val="46AC496B"/>
    <w:rsid w:val="48934632"/>
    <w:rsid w:val="4921579A"/>
    <w:rsid w:val="499C12C5"/>
    <w:rsid w:val="4AE5022F"/>
    <w:rsid w:val="4B55797D"/>
    <w:rsid w:val="4BD9235C"/>
    <w:rsid w:val="4C5C4D3B"/>
    <w:rsid w:val="4CC4300C"/>
    <w:rsid w:val="4D684BCC"/>
    <w:rsid w:val="4D7F6F33"/>
    <w:rsid w:val="4E4D0DDF"/>
    <w:rsid w:val="4E5263F6"/>
    <w:rsid w:val="4E5672BA"/>
    <w:rsid w:val="4FA47125"/>
    <w:rsid w:val="50ED2406"/>
    <w:rsid w:val="51672550"/>
    <w:rsid w:val="526E62DD"/>
    <w:rsid w:val="5311687F"/>
    <w:rsid w:val="539354E6"/>
    <w:rsid w:val="53F17AB1"/>
    <w:rsid w:val="545A6004"/>
    <w:rsid w:val="54AA6F8B"/>
    <w:rsid w:val="54DB61E1"/>
    <w:rsid w:val="550D751A"/>
    <w:rsid w:val="554538AF"/>
    <w:rsid w:val="5559450E"/>
    <w:rsid w:val="556233C2"/>
    <w:rsid w:val="55966A9E"/>
    <w:rsid w:val="5908391E"/>
    <w:rsid w:val="594F2247"/>
    <w:rsid w:val="59BB5797"/>
    <w:rsid w:val="5A663955"/>
    <w:rsid w:val="5D3D64C3"/>
    <w:rsid w:val="5DEB095A"/>
    <w:rsid w:val="604A517F"/>
    <w:rsid w:val="60575AEE"/>
    <w:rsid w:val="607F0970"/>
    <w:rsid w:val="63051831"/>
    <w:rsid w:val="6477050C"/>
    <w:rsid w:val="659A2704"/>
    <w:rsid w:val="66E63727"/>
    <w:rsid w:val="673D2758"/>
    <w:rsid w:val="67C95523"/>
    <w:rsid w:val="6873723D"/>
    <w:rsid w:val="68A85138"/>
    <w:rsid w:val="69960EE6"/>
    <w:rsid w:val="6B143C45"/>
    <w:rsid w:val="6B563571"/>
    <w:rsid w:val="6B601CFA"/>
    <w:rsid w:val="6BE97F42"/>
    <w:rsid w:val="6C794A06"/>
    <w:rsid w:val="6E35746E"/>
    <w:rsid w:val="6E5D5865"/>
    <w:rsid w:val="708D6650"/>
    <w:rsid w:val="71551BD5"/>
    <w:rsid w:val="732E0930"/>
    <w:rsid w:val="733F2B3D"/>
    <w:rsid w:val="74720DB7"/>
    <w:rsid w:val="76AE6010"/>
    <w:rsid w:val="77C74EAF"/>
    <w:rsid w:val="78C733B9"/>
    <w:rsid w:val="79AE27CB"/>
    <w:rsid w:val="7A590988"/>
    <w:rsid w:val="7B031CDA"/>
    <w:rsid w:val="7C4A36C4"/>
    <w:rsid w:val="7F144E7E"/>
    <w:rsid w:val="7F1A4594"/>
    <w:rsid w:val="7F802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2"/>
    <w:qFormat/>
    <w:uiPriority w:val="99"/>
    <w:pPr>
      <w:tabs>
        <w:tab w:val="center" w:pos="4153"/>
        <w:tab w:val="right" w:pos="8306"/>
      </w:tabs>
      <w:snapToGrid w:val="0"/>
      <w:jc w:val="left"/>
    </w:pPr>
    <w:rPr>
      <w:sz w:val="18"/>
      <w:szCs w:val="18"/>
    </w:rPr>
  </w:style>
  <w:style w:type="paragraph" w:styleId="3">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kern w:val="0"/>
      <w:sz w:val="24"/>
    </w:rPr>
  </w:style>
  <w:style w:type="character" w:styleId="7">
    <w:name w:val="Strong"/>
    <w:qFormat/>
    <w:uiPriority w:val="0"/>
    <w:rPr>
      <w:b/>
      <w:bCs/>
    </w:rPr>
  </w:style>
  <w:style w:type="character" w:styleId="8">
    <w:name w:val="page number"/>
    <w:qFormat/>
    <w:uiPriority w:val="0"/>
  </w:style>
  <w:style w:type="character" w:styleId="9">
    <w:name w:val="FollowedHyperlink"/>
    <w:qFormat/>
    <w:uiPriority w:val="0"/>
    <w:rPr>
      <w:color w:val="333333"/>
      <w:u w:val="none"/>
    </w:rPr>
  </w:style>
  <w:style w:type="character" w:styleId="10">
    <w:name w:val="Emphasis"/>
    <w:qFormat/>
    <w:uiPriority w:val="0"/>
  </w:style>
  <w:style w:type="character" w:styleId="11">
    <w:name w:val="HTML Definition"/>
    <w:qFormat/>
    <w:uiPriority w:val="0"/>
    <w:rPr>
      <w:i/>
      <w:iCs/>
    </w:rPr>
  </w:style>
  <w:style w:type="character" w:styleId="12">
    <w:name w:val="Hyperlink"/>
    <w:qFormat/>
    <w:uiPriority w:val="0"/>
    <w:rPr>
      <w:color w:val="333333"/>
      <w:u w:val="none"/>
    </w:rPr>
  </w:style>
  <w:style w:type="character" w:styleId="13">
    <w:name w:val="HTML Code"/>
    <w:qFormat/>
    <w:uiPriority w:val="0"/>
    <w:rPr>
      <w:rFonts w:hint="default" w:ascii="Consolas" w:hAnsi="Consolas" w:eastAsia="Consolas" w:cs="Consolas"/>
      <w:color w:val="C7254E"/>
      <w:sz w:val="21"/>
      <w:szCs w:val="21"/>
      <w:shd w:val="clear" w:color="auto" w:fill="F9F2F4"/>
    </w:rPr>
  </w:style>
  <w:style w:type="character" w:styleId="14">
    <w:name w:val="HTML Keyboard"/>
    <w:qFormat/>
    <w:uiPriority w:val="0"/>
    <w:rPr>
      <w:rFonts w:hint="default" w:ascii="Consolas" w:hAnsi="Consolas" w:eastAsia="Consolas" w:cs="Consolas"/>
      <w:color w:val="FFFFFF"/>
      <w:sz w:val="21"/>
      <w:szCs w:val="21"/>
      <w:shd w:val="clear" w:color="auto" w:fill="333333"/>
    </w:rPr>
  </w:style>
  <w:style w:type="character" w:styleId="15">
    <w:name w:val="HTML Sample"/>
    <w:qFormat/>
    <w:uiPriority w:val="0"/>
    <w:rPr>
      <w:rFonts w:ascii="Consolas" w:hAnsi="Consolas" w:eastAsia="Consolas" w:cs="Consolas"/>
      <w:sz w:val="21"/>
      <w:szCs w:val="21"/>
    </w:rPr>
  </w:style>
  <w:style w:type="character" w:customStyle="1" w:styleId="16">
    <w:name w:val="lc-trangle-icon"/>
    <w:qFormat/>
    <w:uiPriority w:val="0"/>
    <w:rPr>
      <w:shd w:val="clear" w:color="auto" w:fill="9B1D1F"/>
    </w:rPr>
  </w:style>
  <w:style w:type="character" w:customStyle="1" w:styleId="17">
    <w:name w:val="active4"/>
    <w:qFormat/>
    <w:uiPriority w:val="0"/>
    <w:rPr>
      <w:color w:val="076FD8"/>
      <w:bdr w:val="single" w:color="076FD8" w:sz="6" w:space="0"/>
    </w:rPr>
  </w:style>
  <w:style w:type="character" w:customStyle="1" w:styleId="18">
    <w:name w:val="active"/>
    <w:qFormat/>
    <w:uiPriority w:val="0"/>
    <w:rPr>
      <w:color w:val="076FD8"/>
      <w:bdr w:val="single" w:color="076FD8" w:sz="6" w:space="0"/>
    </w:rPr>
  </w:style>
  <w:style w:type="character" w:customStyle="1" w:styleId="19">
    <w:name w:val="dot"/>
    <w:qFormat/>
    <w:uiPriority w:val="0"/>
  </w:style>
  <w:style w:type="character" w:customStyle="1" w:styleId="20">
    <w:name w:val="bsharetext"/>
    <w:qFormat/>
    <w:uiPriority w:val="0"/>
  </w:style>
  <w:style w:type="character" w:customStyle="1" w:styleId="21">
    <w:name w:val="页眉 字符"/>
    <w:basedOn w:val="6"/>
    <w:link w:val="3"/>
    <w:qFormat/>
    <w:uiPriority w:val="0"/>
    <w:rPr>
      <w:rFonts w:eastAsia="仿宋_GB2312"/>
      <w:kern w:val="2"/>
      <w:sz w:val="18"/>
      <w:szCs w:val="18"/>
    </w:rPr>
  </w:style>
  <w:style w:type="character" w:customStyle="1" w:styleId="22">
    <w:name w:val="页脚 字符"/>
    <w:basedOn w:val="6"/>
    <w:link w:val="2"/>
    <w:qFormat/>
    <w:uiPriority w:val="99"/>
    <w:rPr>
      <w:rFonts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3966</Words>
  <Characters>4178</Characters>
  <Lines>33</Lines>
  <Paragraphs>9</Paragraphs>
  <TotalTime>181</TotalTime>
  <ScaleCrop>false</ScaleCrop>
  <LinksUpToDate>false</LinksUpToDate>
  <CharactersWithSpaces>4188</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2023-02-12T14:41:00Z</dcterms:created>
  <dc:creator>LX</dc:creator>
  <cp:lastModifiedBy>Administrator</cp:lastModifiedBy>
  <dcterms:modified xsi:type="dcterms:W3CDTF">2023-03-24T03:31:43Z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D89EA515E04B49D4BA15034DEA72A115</vt:lpwstr>
  </property>
</Properties>
</file>