
<file path=[Content_Types].xml><?xml version="1.0" encoding="utf-8"?>
<Types xmlns="http://schemas.openxmlformats.org/package/2006/content-types">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文星标宋" w:hAnsi="文星标宋" w:eastAsia="文星标宋" w:cs="文星标宋"/>
          <w:sz w:val="44"/>
          <w:szCs w:val="44"/>
          <w:lang w:eastAsia="zh-CN"/>
        </w:rPr>
      </w:pPr>
      <w:r>
        <w:rPr>
          <w:rFonts w:hint="eastAsia" w:ascii="文星标宋" w:hAnsi="文星标宋" w:eastAsia="文星标宋" w:cs="文星标宋"/>
          <w:sz w:val="44"/>
          <w:szCs w:val="44"/>
          <w:lang w:val="en-US" w:eastAsia="zh-CN"/>
        </w:rPr>
        <w:t>济南市</w:t>
      </w:r>
      <w:r>
        <w:rPr>
          <w:rFonts w:hint="eastAsia" w:ascii="文星标宋" w:hAnsi="文星标宋" w:eastAsia="文星标宋" w:cs="文星标宋"/>
          <w:sz w:val="44"/>
          <w:szCs w:val="44"/>
          <w:lang w:eastAsia="zh-CN"/>
        </w:rPr>
        <w:t>商河县</w:t>
      </w:r>
    </w:p>
    <w:p>
      <w:pPr>
        <w:bidi w:val="0"/>
        <w:jc w:val="center"/>
        <w:rPr>
          <w:rFonts w:hint="eastAsia" w:ascii="文星标宋" w:hAnsi="文星标宋" w:eastAsia="文星标宋" w:cs="文星标宋"/>
          <w:sz w:val="44"/>
          <w:szCs w:val="44"/>
        </w:rPr>
      </w:pPr>
      <w:r>
        <w:rPr>
          <w:rFonts w:hint="eastAsia" w:ascii="文星标宋" w:hAnsi="文星标宋" w:eastAsia="文星标宋" w:cs="文星标宋"/>
          <w:sz w:val="44"/>
          <w:szCs w:val="44"/>
          <w:lang w:val="en-US" w:eastAsia="zh-CN"/>
        </w:rPr>
        <w:t>2021年</w:t>
      </w:r>
      <w:r>
        <w:rPr>
          <w:rFonts w:hint="eastAsia" w:ascii="文星标宋" w:hAnsi="文星标宋" w:eastAsia="文星标宋" w:cs="文星标宋"/>
          <w:sz w:val="44"/>
          <w:szCs w:val="44"/>
        </w:rPr>
        <w:t>政府信息公开工作年度报告</w:t>
      </w:r>
    </w:p>
    <w:p>
      <w:pPr>
        <w:bidi w:val="0"/>
        <w:jc w:val="center"/>
        <w:rPr>
          <w:rFonts w:hint="eastAsia" w:ascii="文星标宋" w:hAnsi="文星标宋" w:eastAsia="文星标宋" w:cs="文星标宋"/>
          <w:sz w:val="44"/>
          <w:szCs w:val="44"/>
        </w:rPr>
      </w:pPr>
    </w:p>
    <w:p>
      <w:pPr>
        <w:keepNext w:val="0"/>
        <w:keepLines w:val="0"/>
        <w:pageBreakBefore w:val="0"/>
        <w:widowControl w:val="0"/>
        <w:kinsoku/>
        <w:wordWrap w:val="0"/>
        <w:overflowPunct/>
        <w:topLinePunct w:val="0"/>
        <w:autoSpaceDE/>
        <w:autoSpaceDN/>
        <w:bidi w:val="0"/>
        <w:adjustRightInd/>
        <w:snapToGrid/>
        <w:ind w:firstLine="67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根据《中华人民共和国政府信息公开条例》(国务院令第711号修订)（以下简称《条例》）的要求，特向社会公布202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年度本机关政府信息公开年度报告。本报告由总体情况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主动公开政府信息情况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收到和处理政府信息公开申请情况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政府信息公开行政复议</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行政诉讼情况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存在的主要问题及改进情况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其他需要报告的事项共六个部分组成。</w:t>
      </w:r>
    </w:p>
    <w:p>
      <w:pPr>
        <w:keepNext w:val="0"/>
        <w:keepLines w:val="0"/>
        <w:pageBreakBefore w:val="0"/>
        <w:widowControl w:val="0"/>
        <w:kinsoku/>
        <w:wordWrap w:val="0"/>
        <w:overflowPunct/>
        <w:topLinePunct w:val="0"/>
        <w:autoSpaceDE/>
        <w:autoSpaceDN/>
        <w:bidi w:val="0"/>
        <w:adjustRightInd/>
        <w:snapToGrid/>
        <w:ind w:firstLine="67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本报告中所列数据的统计期限自202</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年1月1日起至202</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年12月31日止。如对本报告有任何疑问，请与</w:t>
      </w:r>
      <w:r>
        <w:rPr>
          <w:rFonts w:hint="eastAsia" w:ascii="仿宋_GB2312" w:hAnsi="仿宋_GB2312" w:eastAsia="仿宋_GB2312" w:cs="仿宋_GB2312"/>
          <w:sz w:val="32"/>
          <w:szCs w:val="32"/>
          <w:lang w:eastAsia="zh-CN"/>
        </w:rPr>
        <w:t>商河县</w:t>
      </w:r>
      <w:r>
        <w:rPr>
          <w:rFonts w:hint="eastAsia" w:ascii="仿宋_GB2312" w:hAnsi="仿宋_GB2312" w:eastAsia="仿宋_GB2312" w:cs="仿宋_GB2312"/>
          <w:sz w:val="32"/>
          <w:szCs w:val="32"/>
        </w:rPr>
        <w:t>人民政府办公室联系（地址：</w:t>
      </w:r>
      <w:r>
        <w:rPr>
          <w:rFonts w:hint="eastAsia" w:ascii="仿宋_GB2312" w:hAnsi="仿宋_GB2312" w:eastAsia="仿宋_GB2312" w:cs="仿宋_GB2312"/>
          <w:sz w:val="32"/>
          <w:szCs w:val="32"/>
          <w:lang w:eastAsia="zh-CN"/>
        </w:rPr>
        <w:t>山东省</w:t>
      </w:r>
      <w:r>
        <w:rPr>
          <w:rFonts w:hint="eastAsia" w:ascii="仿宋_GB2312" w:hAnsi="仿宋_GB2312" w:eastAsia="仿宋_GB2312" w:cs="仿宋_GB2312"/>
          <w:sz w:val="32"/>
          <w:szCs w:val="32"/>
        </w:rPr>
        <w:t>济南市</w:t>
      </w:r>
      <w:r>
        <w:rPr>
          <w:rFonts w:hint="eastAsia" w:ascii="仿宋_GB2312" w:hAnsi="仿宋_GB2312" w:eastAsia="仿宋_GB2312" w:cs="仿宋_GB2312"/>
          <w:sz w:val="32"/>
          <w:szCs w:val="32"/>
          <w:lang w:eastAsia="zh-CN"/>
        </w:rPr>
        <w:t>商河县明辉路</w:t>
      </w:r>
      <w:r>
        <w:rPr>
          <w:rFonts w:hint="eastAsia" w:ascii="仿宋_GB2312" w:hAnsi="仿宋_GB2312" w:eastAsia="仿宋_GB2312" w:cs="仿宋_GB2312"/>
          <w:sz w:val="32"/>
          <w:szCs w:val="32"/>
          <w:lang w:val="en-US" w:eastAsia="zh-CN"/>
        </w:rPr>
        <w:t>119</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电话：0531-</w:t>
      </w:r>
      <w:r>
        <w:rPr>
          <w:rFonts w:hint="eastAsia" w:ascii="仿宋_GB2312" w:hAnsi="仿宋_GB2312" w:eastAsia="仿宋_GB2312" w:cs="仿宋_GB2312"/>
          <w:sz w:val="32"/>
          <w:szCs w:val="32"/>
          <w:lang w:val="en-US" w:eastAsia="zh-CN"/>
        </w:rPr>
        <w:t>84877567</w:t>
      </w:r>
      <w:r>
        <w:rPr>
          <w:rFonts w:hint="eastAsia" w:ascii="仿宋_GB2312" w:hAnsi="仿宋_GB2312" w:eastAsia="仿宋_GB2312" w:cs="仿宋_GB2312"/>
          <w:sz w:val="32"/>
          <w:szCs w:val="32"/>
        </w:rPr>
        <w:t>；邮箱：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"mailto:jnslcqzfbgszwgk@jn.shandong.cn"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shxzfbgsdzzwb</w:t>
      </w:r>
      <w:r>
        <w:rPr>
          <w:rFonts w:hint="eastAsia" w:ascii="仿宋_GB2312" w:hAnsi="仿宋_GB2312" w:eastAsia="仿宋_GB2312" w:cs="仿宋_GB2312"/>
          <w:sz w:val="32"/>
          <w:szCs w:val="32"/>
        </w:rPr>
        <w:t>@jn.shandong.cn</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ind w:firstLine="672"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一、总体情况</w:t>
      </w:r>
    </w:p>
    <w:p>
      <w:pPr>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napToGrid w:val="0"/>
        <w:spacing w:before="0" w:beforeAutospacing="0" w:after="0" w:afterAutospacing="0" w:line="560" w:lineRule="atLeast"/>
        <w:ind w:left="0" w:right="0" w:firstLine="6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cs="仿宋_GB2312"/>
          <w:sz w:val="32"/>
          <w:szCs w:val="32"/>
          <w:lang w:val="en-US" w:eastAsia="zh-CN"/>
        </w:rPr>
        <w:t>商河</w:t>
      </w:r>
      <w:r>
        <w:rPr>
          <w:rFonts w:hint="eastAsia" w:ascii="仿宋_GB2312" w:hAnsi="仿宋_GB2312" w:eastAsia="仿宋_GB2312" w:cs="仿宋_GB2312"/>
          <w:sz w:val="32"/>
          <w:szCs w:val="32"/>
        </w:rPr>
        <w:t>县</w:t>
      </w:r>
      <w:r>
        <w:rPr>
          <w:rFonts w:hint="eastAsia" w:ascii="仿宋_GB2312" w:hAnsi="仿宋_GB2312" w:cs="仿宋_GB2312"/>
          <w:sz w:val="32"/>
          <w:szCs w:val="32"/>
          <w:lang w:val="en-US" w:eastAsia="zh-CN"/>
        </w:rPr>
        <w:t>在市政府办公厅政务公开办公室的领导下，</w:t>
      </w:r>
      <w:r>
        <w:rPr>
          <w:rFonts w:hint="eastAsia" w:ascii="仿宋_GB2312" w:hAnsi="仿宋_GB2312" w:eastAsia="仿宋_GB2312" w:cs="仿宋_GB2312"/>
          <w:sz w:val="32"/>
          <w:szCs w:val="32"/>
        </w:rPr>
        <w:t>坚持以习近平新时代中国特色社会主义思想为指导，全面贯彻</w:t>
      </w:r>
      <w:r>
        <w:rPr>
          <w:rFonts w:hint="eastAsia" w:ascii="仿宋_GB2312" w:hAnsi="仿宋_GB2312" w:cs="仿宋_GB2312"/>
          <w:sz w:val="32"/>
          <w:szCs w:val="32"/>
          <w:lang w:val="en-US" w:eastAsia="zh-CN"/>
        </w:rPr>
        <w:t>党的十九大和十九届二中、三中、四中、五中、六中全会精神，</w:t>
      </w:r>
      <w:r>
        <w:rPr>
          <w:rFonts w:hint="eastAsia" w:ascii="仿宋_GB2312" w:hAnsi="仿宋_GB2312" w:eastAsia="仿宋_GB2312" w:cs="仿宋_GB2312"/>
          <w:sz w:val="32"/>
          <w:szCs w:val="32"/>
        </w:rPr>
        <w:t>认真落实国家、省、市关于全面推进政务公开工作的系列部署，围绕县委、县政府中心工作，</w:t>
      </w:r>
      <w:r>
        <w:rPr>
          <w:rFonts w:hint="eastAsia" w:ascii="仿宋_GB2312" w:hAnsi="仿宋_GB2312" w:cs="仿宋_GB2312"/>
          <w:sz w:val="32"/>
          <w:szCs w:val="32"/>
          <w:lang w:val="en-US" w:eastAsia="zh-CN"/>
        </w:rPr>
        <w:t>不断规范和提升政务公开工作，全年共公开各类政府信息1万余条，聚焦社会公众关切，</w:t>
      </w:r>
      <w:r>
        <w:rPr>
          <w:rFonts w:hint="eastAsia" w:ascii="仿宋_GB2312" w:hAnsi="仿宋_GB2312" w:eastAsia="仿宋_GB2312" w:cs="仿宋_GB2312"/>
          <w:sz w:val="32"/>
          <w:szCs w:val="32"/>
          <w:lang w:val="en-US" w:eastAsia="zh-CN"/>
        </w:rPr>
        <w:t>全面推进基层政务公开标准化规范化工作，</w:t>
      </w:r>
      <w:r>
        <w:rPr>
          <w:rFonts w:hint="eastAsia" w:ascii="仿宋_GB2312" w:hAnsi="仿宋_GB2312" w:eastAsia="仿宋_GB2312" w:cs="仿宋_GB2312"/>
          <w:sz w:val="32"/>
          <w:szCs w:val="32"/>
        </w:rPr>
        <w:t>推动</w:t>
      </w:r>
      <w:r>
        <w:rPr>
          <w:rFonts w:hint="eastAsia" w:ascii="仿宋_GB2312" w:hAnsi="仿宋_GB2312" w:eastAsia="仿宋_GB2312" w:cs="仿宋_GB2312"/>
          <w:sz w:val="32"/>
          <w:szCs w:val="32"/>
          <w:lang w:val="en-US" w:eastAsia="zh-CN"/>
        </w:rPr>
        <w:t>商河</w:t>
      </w:r>
      <w:r>
        <w:rPr>
          <w:rFonts w:hint="eastAsia" w:ascii="仿宋_GB2312" w:hAnsi="仿宋_GB2312" w:eastAsia="仿宋_GB2312" w:cs="仿宋_GB2312"/>
          <w:sz w:val="32"/>
          <w:szCs w:val="32"/>
        </w:rPr>
        <w:t>县政务公开不断向纵深发展。</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72"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主动公开政府信息情况</w:t>
      </w:r>
    </w:p>
    <w:p>
      <w:pPr>
        <w:numPr>
          <w:ilvl w:val="0"/>
          <w:numId w:val="0"/>
        </w:numPr>
        <w:ind w:firstLine="672" w:firstLineChars="200"/>
        <w:rPr>
          <w:rFonts w:hint="eastAsia" w:ascii="仿宋_GB2312" w:hAnsi="仿宋_GB2312" w:eastAsia="仿宋_GB2312" w:cs="仿宋_GB2312"/>
          <w:b/>
          <w:bCs/>
          <w:i w:val="0"/>
          <w:iCs w:val="0"/>
          <w:caps w:val="0"/>
          <w:color w:val="auto"/>
          <w:spacing w:val="0"/>
          <w:sz w:val="32"/>
          <w:szCs w:val="32"/>
        </w:rPr>
      </w:pPr>
      <w:r>
        <w:rPr>
          <w:rFonts w:hint="eastAsia" w:ascii="仿宋_GB2312" w:hAnsi="仿宋_GB2312" w:eastAsia="仿宋_GB2312" w:cs="仿宋_GB2312"/>
          <w:b/>
          <w:bCs/>
          <w:i w:val="0"/>
          <w:iCs w:val="0"/>
          <w:caps w:val="0"/>
          <w:color w:val="auto"/>
          <w:spacing w:val="0"/>
          <w:sz w:val="32"/>
          <w:szCs w:val="32"/>
          <w:lang w:val="en-US" w:eastAsia="zh-CN"/>
        </w:rPr>
        <w:t>1、</w:t>
      </w:r>
      <w:r>
        <w:rPr>
          <w:rFonts w:hint="eastAsia" w:ascii="仿宋_GB2312" w:hAnsi="仿宋_GB2312" w:eastAsia="仿宋_GB2312" w:cs="仿宋_GB2312"/>
          <w:b/>
          <w:bCs/>
          <w:i w:val="0"/>
          <w:iCs w:val="0"/>
          <w:caps w:val="0"/>
          <w:color w:val="auto"/>
          <w:spacing w:val="0"/>
          <w:sz w:val="32"/>
          <w:szCs w:val="32"/>
        </w:rPr>
        <w:t>深入推进行政权力运行信息公开。</w:t>
      </w:r>
    </w:p>
    <w:p>
      <w:pPr>
        <w:numPr>
          <w:ilvl w:val="0"/>
          <w:numId w:val="0"/>
        </w:numPr>
        <w:ind w:firstLine="672" w:firstLineChars="200"/>
        <w:rPr>
          <w:rFonts w:hint="default"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cs="仿宋_GB2312"/>
          <w:b w:val="0"/>
          <w:bCs w:val="0"/>
          <w:i w:val="0"/>
          <w:iCs w:val="0"/>
          <w:caps w:val="0"/>
          <w:color w:val="auto"/>
          <w:spacing w:val="0"/>
          <w:sz w:val="32"/>
          <w:szCs w:val="32"/>
          <w:lang w:val="en-US" w:eastAsia="zh-CN"/>
        </w:rPr>
        <w:t>（1）</w:t>
      </w:r>
      <w:r>
        <w:rPr>
          <w:rFonts w:hint="eastAsia" w:ascii="仿宋_GB2312" w:hAnsi="仿宋_GB2312" w:eastAsia="仿宋_GB2312" w:cs="仿宋_GB2312"/>
          <w:b w:val="0"/>
          <w:bCs w:val="0"/>
          <w:i w:val="0"/>
          <w:iCs w:val="0"/>
          <w:caps w:val="0"/>
          <w:color w:val="auto"/>
          <w:spacing w:val="0"/>
          <w:sz w:val="32"/>
          <w:szCs w:val="32"/>
          <w:lang w:val="en-US" w:eastAsia="zh-CN"/>
        </w:rPr>
        <w:t>推进决策公开。</w:t>
      </w:r>
      <w:r>
        <w:rPr>
          <w:rFonts w:hint="eastAsia" w:ascii="仿宋_GB2312" w:hAnsi="仿宋_GB2312" w:cs="仿宋_GB2312"/>
          <w:b w:val="0"/>
          <w:bCs w:val="0"/>
          <w:i w:val="0"/>
          <w:iCs w:val="0"/>
          <w:caps w:val="0"/>
          <w:color w:val="auto"/>
          <w:spacing w:val="0"/>
          <w:sz w:val="32"/>
          <w:szCs w:val="32"/>
          <w:lang w:val="en-US" w:eastAsia="zh-CN"/>
        </w:rPr>
        <w:t>一是</w:t>
      </w:r>
      <w:r>
        <w:rPr>
          <w:rFonts w:hint="eastAsia" w:ascii="仿宋_GB2312" w:hAnsi="仿宋_GB2312" w:eastAsia="仿宋_GB2312" w:cs="仿宋_GB2312"/>
          <w:b w:val="0"/>
          <w:bCs w:val="0"/>
          <w:i w:val="0"/>
          <w:iCs w:val="0"/>
          <w:caps w:val="0"/>
          <w:color w:val="auto"/>
          <w:spacing w:val="0"/>
          <w:sz w:val="32"/>
          <w:szCs w:val="32"/>
          <w:lang w:val="en-US" w:eastAsia="zh-CN"/>
        </w:rPr>
        <w:t>及时</w:t>
      </w:r>
      <w:r>
        <w:rPr>
          <w:rFonts w:hint="eastAsia" w:ascii="仿宋_GB2312" w:hAnsi="仿宋_GB2312" w:eastAsia="仿宋_GB2312" w:cs="仿宋_GB2312"/>
          <w:b w:val="0"/>
          <w:bCs w:val="0"/>
          <w:i w:val="0"/>
          <w:iCs w:val="0"/>
          <w:caps w:val="0"/>
          <w:color w:val="auto"/>
          <w:spacing w:val="0"/>
          <w:sz w:val="32"/>
          <w:szCs w:val="32"/>
        </w:rPr>
        <w:t>公开</w:t>
      </w:r>
      <w:r>
        <w:rPr>
          <w:rFonts w:hint="eastAsia" w:ascii="仿宋_GB2312" w:hAnsi="仿宋_GB2312" w:cs="仿宋_GB2312"/>
          <w:b w:val="0"/>
          <w:bCs w:val="0"/>
          <w:i w:val="0"/>
          <w:iCs w:val="0"/>
          <w:caps w:val="0"/>
          <w:color w:val="auto"/>
          <w:spacing w:val="0"/>
          <w:sz w:val="32"/>
          <w:szCs w:val="32"/>
          <w:lang w:val="en-US" w:eastAsia="zh-CN"/>
        </w:rPr>
        <w:t>2021</w:t>
      </w:r>
      <w:r>
        <w:rPr>
          <w:rFonts w:hint="eastAsia" w:ascii="仿宋_GB2312" w:hAnsi="仿宋_GB2312" w:eastAsia="仿宋_GB2312" w:cs="仿宋_GB2312"/>
          <w:b w:val="0"/>
          <w:bCs w:val="0"/>
          <w:i w:val="0"/>
          <w:iCs w:val="0"/>
          <w:caps w:val="0"/>
          <w:color w:val="auto"/>
          <w:spacing w:val="0"/>
          <w:sz w:val="32"/>
          <w:szCs w:val="32"/>
        </w:rPr>
        <w:t>年度重大决策事项目录，</w:t>
      </w:r>
      <w:r>
        <w:rPr>
          <w:rFonts w:hint="eastAsia" w:ascii="仿宋_GB2312" w:hAnsi="仿宋_GB2312" w:eastAsia="仿宋_GB2312" w:cs="仿宋_GB2312"/>
          <w:b w:val="0"/>
          <w:bCs w:val="0"/>
          <w:i w:val="0"/>
          <w:iCs w:val="0"/>
          <w:caps w:val="0"/>
          <w:color w:val="auto"/>
          <w:spacing w:val="0"/>
          <w:sz w:val="32"/>
          <w:szCs w:val="32"/>
          <w:lang w:val="en-US" w:eastAsia="zh-CN"/>
        </w:rPr>
        <w:t>共3件。按照2021年度重大决策事项目录，建立“重大决策预公开”专题</w:t>
      </w:r>
      <w:r>
        <w:rPr>
          <w:rFonts w:hint="eastAsia" w:ascii="仿宋_GB2312" w:hAnsi="仿宋_GB2312" w:cs="仿宋_GB2312"/>
          <w:b w:val="0"/>
          <w:bCs w:val="0"/>
          <w:i w:val="0"/>
          <w:iCs w:val="0"/>
          <w:caps w:val="0"/>
          <w:color w:val="auto"/>
          <w:spacing w:val="0"/>
          <w:sz w:val="32"/>
          <w:szCs w:val="32"/>
          <w:lang w:val="en-US" w:eastAsia="zh-CN"/>
        </w:rPr>
        <w:t>，专题</w:t>
      </w:r>
      <w:r>
        <w:rPr>
          <w:rFonts w:hint="eastAsia" w:ascii="仿宋_GB2312" w:hAnsi="仿宋_GB2312" w:eastAsia="仿宋_GB2312" w:cs="仿宋_GB2312"/>
          <w:b w:val="0"/>
          <w:bCs w:val="0"/>
          <w:i w:val="0"/>
          <w:iCs w:val="0"/>
          <w:caps w:val="0"/>
          <w:color w:val="auto"/>
          <w:spacing w:val="0"/>
          <w:sz w:val="32"/>
          <w:szCs w:val="32"/>
          <w:lang w:val="en-US" w:eastAsia="zh-CN"/>
        </w:rPr>
        <w:t>以目录归集的方式对各事项的公告内容、草案内容、依据及背景、意见征集、结果反馈等各项信息进行超链接展示。全县重大决策事项经意见征集后均无收到意见建议。</w:t>
      </w:r>
      <w:r>
        <w:rPr>
          <w:rFonts w:hint="eastAsia" w:ascii="仿宋_GB2312" w:hAnsi="仿宋_GB2312" w:cs="仿宋_GB2312"/>
          <w:b w:val="0"/>
          <w:bCs w:val="0"/>
          <w:i w:val="0"/>
          <w:iCs w:val="0"/>
          <w:caps w:val="0"/>
          <w:color w:val="auto"/>
          <w:spacing w:val="0"/>
          <w:sz w:val="32"/>
          <w:szCs w:val="32"/>
          <w:lang w:val="en-US" w:eastAsia="zh-CN"/>
        </w:rPr>
        <w:t>二是建立“重大会议信息专题”，2021年共召开了18次县政府常务会议，</w:t>
      </w:r>
      <w:r>
        <w:rPr>
          <w:rFonts w:hint="eastAsia" w:ascii="仿宋_GB2312" w:hAnsi="仿宋_GB2312" w:eastAsia="仿宋_GB2312" w:cs="仿宋_GB2312"/>
          <w:b w:val="0"/>
          <w:bCs w:val="0"/>
          <w:i w:val="0"/>
          <w:iCs w:val="0"/>
          <w:caps w:val="0"/>
          <w:color w:val="auto"/>
          <w:spacing w:val="0"/>
          <w:sz w:val="32"/>
          <w:szCs w:val="32"/>
          <w:lang w:val="en-US" w:eastAsia="zh-CN"/>
        </w:rPr>
        <w:t>会议议题</w:t>
      </w:r>
      <w:r>
        <w:rPr>
          <w:rFonts w:hint="eastAsia" w:ascii="仿宋_GB2312" w:hAnsi="仿宋_GB2312" w:cs="仿宋_GB2312"/>
          <w:b w:val="0"/>
          <w:bCs w:val="0"/>
          <w:i w:val="0"/>
          <w:iCs w:val="0"/>
          <w:caps w:val="0"/>
          <w:color w:val="auto"/>
          <w:spacing w:val="0"/>
          <w:sz w:val="32"/>
          <w:szCs w:val="32"/>
          <w:lang w:val="en-US" w:eastAsia="zh-CN"/>
        </w:rPr>
        <w:t>、</w:t>
      </w:r>
      <w:r>
        <w:rPr>
          <w:rFonts w:hint="eastAsia" w:ascii="仿宋_GB2312" w:hAnsi="仿宋_GB2312" w:eastAsia="仿宋_GB2312" w:cs="仿宋_GB2312"/>
          <w:b w:val="0"/>
          <w:bCs w:val="0"/>
          <w:i w:val="0"/>
          <w:iCs w:val="0"/>
          <w:caps w:val="0"/>
          <w:color w:val="auto"/>
          <w:spacing w:val="0"/>
          <w:sz w:val="32"/>
          <w:szCs w:val="32"/>
          <w:lang w:val="en-US" w:eastAsia="zh-CN"/>
        </w:rPr>
        <w:t>内容</w:t>
      </w:r>
      <w:r>
        <w:rPr>
          <w:rFonts w:hint="eastAsia" w:ascii="仿宋_GB2312" w:hAnsi="仿宋_GB2312" w:cs="仿宋_GB2312"/>
          <w:b w:val="0"/>
          <w:bCs w:val="0"/>
          <w:i w:val="0"/>
          <w:iCs w:val="0"/>
          <w:caps w:val="0"/>
          <w:color w:val="auto"/>
          <w:spacing w:val="0"/>
          <w:sz w:val="32"/>
          <w:szCs w:val="32"/>
          <w:lang w:val="en-US" w:eastAsia="zh-CN"/>
        </w:rPr>
        <w:t>及时进行了公开发布，</w:t>
      </w:r>
      <w:r>
        <w:rPr>
          <w:rFonts w:hint="eastAsia" w:ascii="仿宋_GB2312" w:hAnsi="仿宋_GB2312" w:eastAsia="仿宋_GB2312" w:cs="仿宋_GB2312"/>
          <w:b w:val="0"/>
          <w:bCs w:val="0"/>
          <w:i w:val="0"/>
          <w:iCs w:val="0"/>
          <w:caps w:val="0"/>
          <w:color w:val="auto"/>
          <w:spacing w:val="0"/>
          <w:sz w:val="32"/>
          <w:szCs w:val="32"/>
          <w:lang w:val="en-US" w:eastAsia="zh-CN"/>
        </w:rPr>
        <w:t>邀请利益相关方</w:t>
      </w:r>
      <w:r>
        <w:rPr>
          <w:rFonts w:hint="eastAsia" w:ascii="仿宋_GB2312" w:hAnsi="仿宋_GB2312" w:cs="仿宋_GB2312"/>
          <w:b w:val="0"/>
          <w:bCs w:val="0"/>
          <w:i w:val="0"/>
          <w:iCs w:val="0"/>
          <w:caps w:val="0"/>
          <w:color w:val="auto"/>
          <w:spacing w:val="0"/>
          <w:sz w:val="32"/>
          <w:szCs w:val="32"/>
          <w:lang w:val="en-US" w:eastAsia="zh-CN"/>
        </w:rPr>
        <w:t>（市民代表、人大代表和政协委员）列</w:t>
      </w:r>
      <w:r>
        <w:rPr>
          <w:rFonts w:hint="eastAsia" w:ascii="仿宋_GB2312" w:hAnsi="仿宋_GB2312" w:eastAsia="仿宋_GB2312" w:cs="仿宋_GB2312"/>
          <w:b w:val="0"/>
          <w:bCs w:val="0"/>
          <w:i w:val="0"/>
          <w:iCs w:val="0"/>
          <w:caps w:val="0"/>
          <w:color w:val="auto"/>
          <w:spacing w:val="0"/>
          <w:sz w:val="32"/>
          <w:szCs w:val="32"/>
          <w:lang w:val="en-US" w:eastAsia="zh-CN"/>
        </w:rPr>
        <w:t>席</w:t>
      </w:r>
      <w:r>
        <w:rPr>
          <w:rFonts w:hint="eastAsia" w:ascii="仿宋_GB2312" w:hAnsi="仿宋_GB2312" w:cs="仿宋_GB2312"/>
          <w:b w:val="0"/>
          <w:bCs w:val="0"/>
          <w:i w:val="0"/>
          <w:iCs w:val="0"/>
          <w:caps w:val="0"/>
          <w:color w:val="auto"/>
          <w:spacing w:val="0"/>
          <w:sz w:val="32"/>
          <w:szCs w:val="32"/>
          <w:lang w:val="en-US" w:eastAsia="zh-CN"/>
        </w:rPr>
        <w:t>2次会议，对县政府常务会议都进行了图片解读和媒体解读</w:t>
      </w:r>
      <w:r>
        <w:rPr>
          <w:rFonts w:hint="eastAsia" w:ascii="仿宋_GB2312" w:hAnsi="仿宋_GB2312" w:eastAsia="仿宋_GB2312" w:cs="仿宋_GB2312"/>
          <w:b w:val="0"/>
          <w:bCs w:val="0"/>
          <w:i w:val="0"/>
          <w:iCs w:val="0"/>
          <w:caps w:val="0"/>
          <w:color w:val="auto"/>
          <w:spacing w:val="0"/>
          <w:sz w:val="32"/>
          <w:szCs w:val="32"/>
          <w:lang w:val="en-US" w:eastAsia="zh-CN"/>
        </w:rPr>
        <w:t>。</w:t>
      </w:r>
      <w:r>
        <w:rPr>
          <w:rFonts w:hint="eastAsia" w:ascii="仿宋_GB2312" w:hAnsi="仿宋_GB2312" w:cs="仿宋_GB2312"/>
          <w:b w:val="0"/>
          <w:bCs w:val="0"/>
          <w:i w:val="0"/>
          <w:iCs w:val="0"/>
          <w:caps w:val="0"/>
          <w:color w:val="auto"/>
          <w:spacing w:val="0"/>
          <w:sz w:val="32"/>
          <w:szCs w:val="32"/>
          <w:lang w:val="en-US" w:eastAsia="zh-CN"/>
        </w:rPr>
        <w:t>三是设置“政府文件发布平台”，</w:t>
      </w:r>
      <w:r>
        <w:rPr>
          <w:rFonts w:hint="eastAsia" w:ascii="仿宋_GB2312" w:hAnsi="仿宋_GB2312" w:eastAsia="仿宋_GB2312" w:cs="仿宋_GB2312"/>
          <w:b w:val="0"/>
          <w:bCs w:val="0"/>
          <w:i w:val="0"/>
          <w:iCs w:val="0"/>
          <w:caps w:val="0"/>
          <w:color w:val="auto"/>
          <w:spacing w:val="0"/>
          <w:sz w:val="32"/>
          <w:szCs w:val="32"/>
          <w:lang w:val="en-US" w:eastAsia="zh-CN"/>
        </w:rPr>
        <w:t>统一公开县政府和县政府办公室制定出台的政策文件、规范性文件等，政策文件和规范性文件全部</w:t>
      </w:r>
      <w:r>
        <w:rPr>
          <w:rFonts w:hint="eastAsia" w:ascii="仿宋_GB2312" w:hAnsi="仿宋_GB2312" w:cs="仿宋_GB2312"/>
          <w:b w:val="0"/>
          <w:bCs w:val="0"/>
          <w:i w:val="0"/>
          <w:iCs w:val="0"/>
          <w:caps w:val="0"/>
          <w:color w:val="auto"/>
          <w:spacing w:val="0"/>
          <w:sz w:val="32"/>
          <w:szCs w:val="32"/>
          <w:lang w:val="en-US" w:eastAsia="zh-CN"/>
        </w:rPr>
        <w:t>发布机构、</w:t>
      </w:r>
      <w:r>
        <w:rPr>
          <w:rFonts w:hint="eastAsia" w:ascii="仿宋_GB2312" w:hAnsi="仿宋_GB2312" w:eastAsia="仿宋_GB2312" w:cs="仿宋_GB2312"/>
          <w:b w:val="0"/>
          <w:bCs w:val="0"/>
          <w:i w:val="0"/>
          <w:iCs w:val="0"/>
          <w:caps w:val="0"/>
          <w:color w:val="auto"/>
          <w:spacing w:val="0"/>
          <w:sz w:val="32"/>
          <w:szCs w:val="32"/>
          <w:lang w:val="en-US" w:eastAsia="zh-CN"/>
        </w:rPr>
        <w:t>发布日期、效力状态</w:t>
      </w:r>
      <w:r>
        <w:rPr>
          <w:rFonts w:hint="eastAsia" w:ascii="仿宋_GB2312" w:hAnsi="仿宋_GB2312" w:cs="仿宋_GB2312"/>
          <w:b w:val="0"/>
          <w:bCs w:val="0"/>
          <w:i w:val="0"/>
          <w:iCs w:val="0"/>
          <w:caps w:val="0"/>
          <w:color w:val="auto"/>
          <w:spacing w:val="0"/>
          <w:sz w:val="32"/>
          <w:szCs w:val="32"/>
          <w:lang w:val="en-US" w:eastAsia="zh-CN"/>
        </w:rPr>
        <w:t>。</w:t>
      </w:r>
      <w:r>
        <w:rPr>
          <w:rFonts w:hint="eastAsia" w:ascii="仿宋_GB2312" w:hAnsi="仿宋_GB2312" w:eastAsia="仿宋_GB2312" w:cs="仿宋_GB2312"/>
          <w:b w:val="0"/>
          <w:bCs w:val="0"/>
          <w:i w:val="0"/>
          <w:iCs w:val="0"/>
          <w:caps w:val="0"/>
          <w:color w:val="auto"/>
          <w:spacing w:val="0"/>
          <w:sz w:val="32"/>
          <w:szCs w:val="32"/>
          <w:lang w:val="en-US" w:eastAsia="zh-CN"/>
        </w:rPr>
        <w:t>202</w:t>
      </w:r>
      <w:r>
        <w:rPr>
          <w:rFonts w:hint="eastAsia" w:ascii="仿宋_GB2312" w:hAnsi="仿宋_GB2312" w:cs="仿宋_GB2312"/>
          <w:b w:val="0"/>
          <w:bCs w:val="0"/>
          <w:i w:val="0"/>
          <w:iCs w:val="0"/>
          <w:caps w:val="0"/>
          <w:color w:val="auto"/>
          <w:spacing w:val="0"/>
          <w:sz w:val="32"/>
          <w:szCs w:val="32"/>
          <w:lang w:val="en-US" w:eastAsia="zh-CN"/>
        </w:rPr>
        <w:t>1</w:t>
      </w:r>
      <w:r>
        <w:rPr>
          <w:rFonts w:hint="eastAsia" w:ascii="仿宋_GB2312" w:hAnsi="仿宋_GB2312" w:eastAsia="仿宋_GB2312" w:cs="仿宋_GB2312"/>
          <w:b w:val="0"/>
          <w:bCs w:val="0"/>
          <w:i w:val="0"/>
          <w:iCs w:val="0"/>
          <w:caps w:val="0"/>
          <w:color w:val="auto"/>
          <w:spacing w:val="0"/>
          <w:sz w:val="32"/>
          <w:szCs w:val="32"/>
          <w:lang w:val="en-US" w:eastAsia="zh-CN"/>
        </w:rPr>
        <w:t>年</w:t>
      </w:r>
      <w:r>
        <w:rPr>
          <w:rFonts w:hint="eastAsia" w:ascii="仿宋_GB2312" w:hAnsi="仿宋_GB2312" w:cs="仿宋_GB2312"/>
          <w:b w:val="0"/>
          <w:bCs w:val="0"/>
          <w:i w:val="0"/>
          <w:iCs w:val="0"/>
          <w:caps w:val="0"/>
          <w:color w:val="auto"/>
          <w:spacing w:val="0"/>
          <w:sz w:val="32"/>
          <w:szCs w:val="32"/>
          <w:lang w:val="en-US" w:eastAsia="zh-CN"/>
        </w:rPr>
        <w:t>平台</w:t>
      </w:r>
      <w:r>
        <w:rPr>
          <w:rFonts w:hint="eastAsia" w:ascii="仿宋_GB2312" w:hAnsi="仿宋_GB2312" w:eastAsia="仿宋_GB2312" w:cs="仿宋_GB2312"/>
          <w:b w:val="0"/>
          <w:bCs w:val="0"/>
          <w:i w:val="0"/>
          <w:iCs w:val="0"/>
          <w:caps w:val="0"/>
          <w:color w:val="auto"/>
          <w:spacing w:val="0"/>
          <w:sz w:val="32"/>
          <w:szCs w:val="32"/>
          <w:lang w:val="en-US" w:eastAsia="zh-CN"/>
        </w:rPr>
        <w:t>共发布政策文</w:t>
      </w:r>
      <w:r>
        <w:rPr>
          <w:rFonts w:hint="eastAsia" w:ascii="仿宋_GB2312" w:hAnsi="仿宋_GB2312" w:cs="仿宋_GB2312"/>
          <w:b w:val="0"/>
          <w:bCs w:val="0"/>
          <w:i w:val="0"/>
          <w:iCs w:val="0"/>
          <w:caps w:val="0"/>
          <w:color w:val="auto"/>
          <w:spacing w:val="0"/>
          <w:sz w:val="32"/>
          <w:szCs w:val="32"/>
          <w:lang w:val="en-US" w:eastAsia="zh-CN"/>
        </w:rPr>
        <w:t>件16件、规范性文</w:t>
      </w:r>
      <w:r>
        <w:rPr>
          <w:rFonts w:hint="eastAsia" w:ascii="仿宋_GB2312" w:hAnsi="仿宋_GB2312" w:eastAsia="仿宋_GB2312" w:cs="仿宋_GB2312"/>
          <w:b w:val="0"/>
          <w:bCs w:val="0"/>
          <w:i w:val="0"/>
          <w:iCs w:val="0"/>
          <w:caps w:val="0"/>
          <w:color w:val="auto"/>
          <w:spacing w:val="0"/>
          <w:sz w:val="32"/>
          <w:szCs w:val="32"/>
          <w:lang w:val="en-US" w:eastAsia="zh-CN"/>
        </w:rPr>
        <w:t>件</w:t>
      </w:r>
      <w:r>
        <w:rPr>
          <w:rFonts w:hint="eastAsia" w:ascii="仿宋_GB2312" w:hAnsi="仿宋_GB2312" w:cs="仿宋_GB2312"/>
          <w:b w:val="0"/>
          <w:bCs w:val="0"/>
          <w:i w:val="0"/>
          <w:iCs w:val="0"/>
          <w:caps w:val="0"/>
          <w:color w:val="auto"/>
          <w:spacing w:val="0"/>
          <w:sz w:val="32"/>
          <w:szCs w:val="32"/>
          <w:lang w:val="en-US" w:eastAsia="zh-CN"/>
        </w:rPr>
        <w:t>1</w:t>
      </w:r>
      <w:r>
        <w:rPr>
          <w:rFonts w:hint="eastAsia" w:ascii="仿宋_GB2312" w:hAnsi="仿宋_GB2312" w:eastAsia="仿宋_GB2312" w:cs="仿宋_GB2312"/>
          <w:b w:val="0"/>
          <w:bCs w:val="0"/>
          <w:i w:val="0"/>
          <w:iCs w:val="0"/>
          <w:caps w:val="0"/>
          <w:color w:val="auto"/>
          <w:spacing w:val="0"/>
          <w:sz w:val="32"/>
          <w:szCs w:val="32"/>
          <w:lang w:val="en-US" w:eastAsia="zh-CN"/>
        </w:rPr>
        <w:t>件</w:t>
      </w:r>
      <w:r>
        <w:rPr>
          <w:rFonts w:hint="eastAsia" w:ascii="仿宋_GB2312" w:hAnsi="仿宋_GB2312" w:cs="仿宋_GB2312"/>
          <w:b w:val="0"/>
          <w:bCs w:val="0"/>
          <w:i w:val="0"/>
          <w:iCs w:val="0"/>
          <w:caps w:val="0"/>
          <w:color w:val="auto"/>
          <w:spacing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Style w:val="7"/>
          <w:rFonts w:hint="eastAsia" w:ascii="仿宋_GB2312" w:hAnsi="宋体" w:cs="仿宋_GB2312"/>
          <w:b/>
          <w:bCs/>
          <w:i w:val="0"/>
          <w:iCs w:val="0"/>
          <w:caps w:val="0"/>
          <w:color w:val="333333"/>
          <w:spacing w:val="0"/>
          <w:sz w:val="31"/>
          <w:szCs w:val="31"/>
          <w:u w:val="none"/>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pPr>
      <w:r>
        <w:drawing>
          <wp:inline distT="0" distB="0" distL="114300" distR="114300">
            <wp:extent cx="5760085" cy="2879725"/>
            <wp:effectExtent l="0" t="0" r="12065"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lang w:val="en-US" w:eastAsia="zh-CN"/>
        </w:rPr>
      </w:pPr>
      <w:r>
        <w:drawing>
          <wp:inline distT="0" distB="0" distL="114300" distR="114300">
            <wp:extent cx="5760085" cy="2879725"/>
            <wp:effectExtent l="0" t="0" r="12065" b="1587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sz w:val="32"/>
          <w:szCs w:val="32"/>
        </w:rPr>
      </w:pPr>
      <w:r>
        <w:drawing>
          <wp:inline distT="0" distB="0" distL="114300" distR="114300">
            <wp:extent cx="5760085" cy="2879725"/>
            <wp:effectExtent l="0" t="0" r="12065" b="1587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a:stretch>
                      <a:fillRect/>
                    </a:stretch>
                  </pic:blipFill>
                  <pic:spPr>
                    <a:xfrm>
                      <a:off x="0" y="0"/>
                      <a:ext cx="5760085" cy="2879725"/>
                    </a:xfrm>
                    <a:prstGeom prst="rect">
                      <a:avLst/>
                    </a:prstGeom>
                    <a:noFill/>
                    <a:ln>
                      <a:noFill/>
                    </a:ln>
                  </pic:spPr>
                </pic:pic>
              </a:graphicData>
            </a:graphic>
          </wp:inline>
        </w:drawing>
      </w:r>
    </w:p>
    <w:p>
      <w:pPr>
        <w:numPr>
          <w:ilvl w:val="0"/>
          <w:numId w:val="0"/>
        </w:numPr>
        <w:ind w:firstLine="672" w:firstLineChars="200"/>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（2）推进管理和服务公开</w:t>
      </w:r>
    </w:p>
    <w:p>
      <w:pPr>
        <w:numPr>
          <w:ilvl w:val="0"/>
          <w:numId w:val="0"/>
        </w:numPr>
        <w:ind w:firstLine="672" w:firstLineChars="200"/>
        <w:rPr>
          <w:rFonts w:hint="default"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cs="仿宋_GB2312"/>
          <w:b w:val="0"/>
          <w:bCs w:val="0"/>
          <w:i w:val="0"/>
          <w:iCs w:val="0"/>
          <w:caps w:val="0"/>
          <w:color w:val="auto"/>
          <w:spacing w:val="0"/>
          <w:sz w:val="32"/>
          <w:szCs w:val="32"/>
          <w:lang w:val="en-US" w:eastAsia="zh-CN"/>
        </w:rPr>
        <w:t>一是</w:t>
      </w:r>
      <w:r>
        <w:rPr>
          <w:rFonts w:hint="eastAsia" w:ascii="仿宋_GB2312" w:hAnsi="仿宋_GB2312" w:eastAsia="仿宋_GB2312" w:cs="仿宋_GB2312"/>
          <w:b w:val="0"/>
          <w:bCs w:val="0"/>
          <w:i w:val="0"/>
          <w:iCs w:val="0"/>
          <w:caps w:val="0"/>
          <w:color w:val="auto"/>
          <w:spacing w:val="0"/>
          <w:sz w:val="32"/>
          <w:szCs w:val="32"/>
          <w:lang w:val="en-US" w:eastAsia="zh-CN"/>
        </w:rPr>
        <w:t>建立“双随机、一公开”监管平台，集中公开各部门随机抽查事项清单、随机抽查计划、各抽查事项的抽查结果。</w:t>
      </w:r>
      <w:r>
        <w:rPr>
          <w:rFonts w:hint="eastAsia" w:ascii="仿宋_GB2312" w:hAnsi="仿宋_GB2312" w:cs="仿宋_GB2312"/>
          <w:b w:val="0"/>
          <w:bCs w:val="0"/>
          <w:i w:val="0"/>
          <w:iCs w:val="0"/>
          <w:caps w:val="0"/>
          <w:color w:val="auto"/>
          <w:spacing w:val="0"/>
          <w:sz w:val="32"/>
          <w:szCs w:val="32"/>
          <w:lang w:val="en-US" w:eastAsia="zh-CN"/>
        </w:rPr>
        <w:t>2021年共发布239条信息。</w:t>
      </w:r>
    </w:p>
    <w:p>
      <w:pPr>
        <w:keepNext w:val="0"/>
        <w:keepLines w:val="0"/>
        <w:pageBreakBefore w:val="0"/>
        <w:widowControl w:val="0"/>
        <w:numPr>
          <w:ilvl w:val="0"/>
          <w:numId w:val="0"/>
        </w:numPr>
        <w:kinsoku/>
        <w:wordWrap/>
        <w:overflowPunct/>
        <w:topLinePunct w:val="0"/>
        <w:autoSpaceDE/>
        <w:autoSpaceDN/>
        <w:bidi w:val="0"/>
        <w:adjustRightInd/>
        <w:snapToGrid/>
        <w:ind w:firstLine="672" w:firstLineChars="200"/>
        <w:textAlignment w:val="auto"/>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cs="仿宋_GB2312"/>
          <w:b w:val="0"/>
          <w:bCs w:val="0"/>
          <w:i w:val="0"/>
          <w:iCs w:val="0"/>
          <w:caps w:val="0"/>
          <w:color w:val="auto"/>
          <w:spacing w:val="0"/>
          <w:sz w:val="32"/>
          <w:szCs w:val="32"/>
          <w:lang w:val="en-US" w:eastAsia="zh-CN"/>
        </w:rPr>
        <w:t>二</w:t>
      </w:r>
      <w:r>
        <w:rPr>
          <w:rFonts w:hint="default" w:ascii="仿宋_GB2312" w:hAnsi="仿宋_GB2312" w:cs="仿宋_GB2312"/>
          <w:b w:val="0"/>
          <w:bCs w:val="0"/>
          <w:i w:val="0"/>
          <w:iCs w:val="0"/>
          <w:caps w:val="0"/>
          <w:color w:val="auto"/>
          <w:spacing w:val="0"/>
          <w:sz w:val="32"/>
          <w:szCs w:val="32"/>
          <w:lang w:eastAsia="zh-CN"/>
        </w:rPr>
        <w:t>是建立</w:t>
      </w:r>
      <w:r>
        <w:rPr>
          <w:rFonts w:hint="eastAsia" w:ascii="仿宋_GB2312" w:hAnsi="仿宋_GB2312" w:eastAsia="仿宋_GB2312" w:cs="仿宋_GB2312"/>
          <w:b w:val="0"/>
          <w:bCs w:val="0"/>
          <w:i w:val="0"/>
          <w:iCs w:val="0"/>
          <w:caps w:val="0"/>
          <w:color w:val="auto"/>
          <w:spacing w:val="0"/>
          <w:sz w:val="32"/>
          <w:szCs w:val="32"/>
          <w:lang w:val="en-US" w:eastAsia="zh-CN"/>
        </w:rPr>
        <w:t>“</w:t>
      </w:r>
      <w:r>
        <w:rPr>
          <w:rFonts w:hint="eastAsia" w:ascii="仿宋_GB2312" w:hAnsi="仿宋_GB2312" w:cs="仿宋_GB2312"/>
          <w:b w:val="0"/>
          <w:bCs w:val="0"/>
          <w:i w:val="0"/>
          <w:iCs w:val="0"/>
          <w:caps w:val="0"/>
          <w:color w:val="auto"/>
          <w:spacing w:val="0"/>
          <w:sz w:val="32"/>
          <w:szCs w:val="32"/>
          <w:lang w:val="en-US" w:eastAsia="zh-CN"/>
        </w:rPr>
        <w:t>商河</w:t>
      </w:r>
      <w:r>
        <w:rPr>
          <w:rFonts w:hint="eastAsia" w:ascii="仿宋_GB2312" w:hAnsi="仿宋_GB2312" w:eastAsia="仿宋_GB2312" w:cs="仿宋_GB2312"/>
          <w:b w:val="0"/>
          <w:bCs w:val="0"/>
          <w:i w:val="0"/>
          <w:iCs w:val="0"/>
          <w:caps w:val="0"/>
          <w:color w:val="auto"/>
          <w:spacing w:val="0"/>
          <w:sz w:val="32"/>
          <w:szCs w:val="32"/>
          <w:lang w:val="en-US" w:eastAsia="zh-CN"/>
        </w:rPr>
        <w:t>县行政执法公示</w:t>
      </w:r>
      <w:r>
        <w:rPr>
          <w:rFonts w:hint="default" w:ascii="仿宋_GB2312" w:hAnsi="仿宋_GB2312" w:cs="仿宋_GB2312"/>
          <w:b w:val="0"/>
          <w:bCs w:val="0"/>
          <w:i w:val="0"/>
          <w:iCs w:val="0"/>
          <w:caps w:val="0"/>
          <w:color w:val="auto"/>
          <w:spacing w:val="0"/>
          <w:sz w:val="32"/>
          <w:szCs w:val="32"/>
          <w:lang w:eastAsia="zh-CN"/>
        </w:rPr>
        <w:t>专题</w:t>
      </w:r>
      <w:r>
        <w:rPr>
          <w:rFonts w:hint="eastAsia" w:ascii="仿宋_GB2312" w:hAnsi="仿宋_GB2312" w:eastAsia="仿宋_GB2312" w:cs="仿宋_GB2312"/>
          <w:b w:val="0"/>
          <w:bCs w:val="0"/>
          <w:i w:val="0"/>
          <w:iCs w:val="0"/>
          <w:caps w:val="0"/>
          <w:color w:val="auto"/>
          <w:spacing w:val="0"/>
          <w:sz w:val="32"/>
          <w:szCs w:val="32"/>
          <w:lang w:val="en-US" w:eastAsia="zh-CN"/>
        </w:rPr>
        <w:t>”，</w:t>
      </w:r>
      <w:r>
        <w:rPr>
          <w:rFonts w:hint="eastAsia" w:ascii="仿宋_GB2312" w:hAnsi="仿宋_GB2312" w:eastAsia="仿宋_GB2312" w:cs="仿宋_GB2312"/>
          <w:sz w:val="32"/>
          <w:szCs w:val="32"/>
          <w:lang w:val="en-US" w:eastAsia="zh-CN"/>
        </w:rPr>
        <w:t>公开商河县城市综合执法领域基层政务公开事项标准目录。</w:t>
      </w:r>
      <w:r>
        <w:rPr>
          <w:rFonts w:hint="eastAsia" w:ascii="仿宋_GB2312" w:hAnsi="仿宋_GB2312" w:eastAsia="仿宋_GB2312" w:cs="仿宋_GB2312"/>
          <w:i w:val="0"/>
          <w:iCs w:val="0"/>
          <w:caps w:val="0"/>
          <w:color w:val="auto"/>
          <w:spacing w:val="0"/>
          <w:sz w:val="32"/>
          <w:szCs w:val="32"/>
        </w:rPr>
        <w:t>按照“谁执法谁公示”的原则，</w:t>
      </w:r>
      <w:r>
        <w:rPr>
          <w:rFonts w:hint="eastAsia" w:ascii="仿宋_GB2312" w:hAnsi="仿宋_GB2312" w:eastAsia="仿宋_GB2312" w:cs="仿宋_GB2312"/>
          <w:sz w:val="32"/>
          <w:szCs w:val="32"/>
          <w:lang w:val="en-US" w:eastAsia="zh-CN"/>
        </w:rPr>
        <w:t>加大事前公开（如行政执法主体清单、服务指南、执法流程图等）、事中公开、事后公开（如执法结果）的信息公开力度，</w:t>
      </w:r>
      <w:r>
        <w:rPr>
          <w:rFonts w:hint="eastAsia" w:ascii="仿宋_GB2312" w:hAnsi="仿宋_GB2312" w:eastAsia="仿宋_GB2312" w:cs="仿宋_GB2312"/>
          <w:i w:val="0"/>
          <w:iCs w:val="0"/>
          <w:caps w:val="0"/>
          <w:color w:val="auto"/>
          <w:spacing w:val="0"/>
          <w:sz w:val="32"/>
          <w:szCs w:val="32"/>
        </w:rPr>
        <w:t>全面加强行政执法社会监督，进一步规范各部门的执法行为</w:t>
      </w:r>
      <w:r>
        <w:rPr>
          <w:rFonts w:hint="eastAsia" w:ascii="仿宋_GB2312" w:hAnsi="仿宋_GB2312" w:eastAsia="仿宋_GB2312" w:cs="仿宋_GB2312"/>
          <w:i w:val="0"/>
          <w:iCs w:val="0"/>
          <w:caps w:val="0"/>
          <w:color w:val="auto"/>
          <w:spacing w:val="0"/>
          <w:sz w:val="32"/>
          <w:szCs w:val="32"/>
          <w:lang w:eastAsia="zh-CN"/>
        </w:rPr>
        <w:t>。</w:t>
      </w:r>
    </w:p>
    <w:p>
      <w:pPr>
        <w:numPr>
          <w:ilvl w:val="0"/>
          <w:numId w:val="0"/>
        </w:numPr>
        <w:rPr>
          <w:rFonts w:hint="eastAsia" w:ascii="仿宋_GB2312" w:hAnsi="仿宋_GB2312" w:eastAsia="仿宋_GB2312" w:cs="仿宋_GB2312"/>
          <w:b w:val="0"/>
          <w:bCs w:val="0"/>
          <w:i w:val="0"/>
          <w:iCs w:val="0"/>
          <w:caps w:val="0"/>
          <w:color w:val="auto"/>
          <w:spacing w:val="0"/>
          <w:sz w:val="32"/>
          <w:szCs w:val="32"/>
          <w:lang w:val="en-US" w:eastAsia="zh-CN"/>
        </w:rPr>
      </w:pPr>
      <w:r>
        <w:drawing>
          <wp:inline distT="0" distB="0" distL="114300" distR="114300">
            <wp:extent cx="5760085" cy="2879725"/>
            <wp:effectExtent l="0" t="0" r="12065" b="1587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stretch>
                      <a:fillRect/>
                    </a:stretch>
                  </pic:blipFill>
                  <pic:spPr>
                    <a:xfrm>
                      <a:off x="0" y="0"/>
                      <a:ext cx="5760085" cy="2879725"/>
                    </a:xfrm>
                    <a:prstGeom prst="rect">
                      <a:avLst/>
                    </a:prstGeom>
                    <a:noFill/>
                    <a:ln>
                      <a:noFill/>
                    </a:ln>
                  </pic:spPr>
                </pic:pic>
              </a:graphicData>
            </a:graphic>
          </wp:inline>
        </w:drawing>
      </w:r>
    </w:p>
    <w:p>
      <w:pPr>
        <w:numPr>
          <w:ilvl w:val="0"/>
          <w:numId w:val="0"/>
        </w:numPr>
        <w:ind w:firstLine="672" w:firstLineChars="200"/>
        <w:rPr>
          <w:rFonts w:hint="default"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lang w:val="en-US" w:eastAsia="zh-CN"/>
        </w:rPr>
        <w:t>（3）推进执行和结果公开</w:t>
      </w:r>
    </w:p>
    <w:p>
      <w:pPr>
        <w:numPr>
          <w:ilvl w:val="0"/>
          <w:numId w:val="0"/>
        </w:numPr>
        <w:ind w:firstLine="672" w:firstLineChars="200"/>
        <w:rPr>
          <w:rFonts w:hint="eastAsia" w:ascii="仿宋_GB2312" w:hAnsi="仿宋_GB2312" w:cs="仿宋_GB2312"/>
          <w:b w:val="0"/>
          <w:bCs w:val="0"/>
          <w:i w:val="0"/>
          <w:iCs w:val="0"/>
          <w:caps w:val="0"/>
          <w:color w:val="auto"/>
          <w:spacing w:val="0"/>
          <w:sz w:val="32"/>
          <w:szCs w:val="32"/>
          <w:lang w:val="en-US" w:eastAsia="zh-CN"/>
        </w:rPr>
      </w:pPr>
      <w:r>
        <w:rPr>
          <w:rFonts w:hint="eastAsia" w:ascii="仿宋_GB2312" w:hAnsi="仿宋_GB2312" w:cs="仿宋_GB2312"/>
          <w:b w:val="0"/>
          <w:bCs w:val="0"/>
          <w:i w:val="0"/>
          <w:iCs w:val="0"/>
          <w:caps w:val="0"/>
          <w:color w:val="auto"/>
          <w:spacing w:val="0"/>
          <w:sz w:val="32"/>
          <w:szCs w:val="32"/>
          <w:lang w:val="en-US" w:eastAsia="zh-CN"/>
        </w:rPr>
        <w:t>一是</w:t>
      </w:r>
      <w:r>
        <w:rPr>
          <w:rFonts w:hint="eastAsia" w:ascii="仿宋_GB2312" w:hAnsi="仿宋_GB2312" w:eastAsia="仿宋_GB2312" w:cs="仿宋_GB2312"/>
          <w:b w:val="0"/>
          <w:bCs w:val="0"/>
          <w:i w:val="0"/>
          <w:iCs w:val="0"/>
          <w:caps w:val="0"/>
          <w:color w:val="auto"/>
          <w:spacing w:val="0"/>
          <w:sz w:val="32"/>
          <w:szCs w:val="32"/>
          <w:lang w:val="en-US" w:eastAsia="zh-CN"/>
        </w:rPr>
        <w:t>设置“202</w:t>
      </w:r>
      <w:r>
        <w:rPr>
          <w:rFonts w:hint="eastAsia" w:ascii="仿宋_GB2312" w:hAnsi="仿宋_GB2312" w:cs="仿宋_GB2312"/>
          <w:b w:val="0"/>
          <w:bCs w:val="0"/>
          <w:i w:val="0"/>
          <w:iCs w:val="0"/>
          <w:caps w:val="0"/>
          <w:color w:val="auto"/>
          <w:spacing w:val="0"/>
          <w:sz w:val="32"/>
          <w:szCs w:val="32"/>
          <w:lang w:val="en-US" w:eastAsia="zh-CN"/>
        </w:rPr>
        <w:t>1</w:t>
      </w:r>
      <w:r>
        <w:rPr>
          <w:rFonts w:hint="eastAsia" w:ascii="仿宋_GB2312" w:hAnsi="仿宋_GB2312" w:eastAsia="仿宋_GB2312" w:cs="仿宋_GB2312"/>
          <w:b w:val="0"/>
          <w:bCs w:val="0"/>
          <w:i w:val="0"/>
          <w:iCs w:val="0"/>
          <w:caps w:val="0"/>
          <w:color w:val="auto"/>
          <w:spacing w:val="0"/>
          <w:sz w:val="32"/>
          <w:szCs w:val="32"/>
          <w:lang w:val="en-US" w:eastAsia="zh-CN"/>
        </w:rPr>
        <w:t>年政府工作报告执行落实情况”</w:t>
      </w:r>
      <w:r>
        <w:rPr>
          <w:rFonts w:hint="eastAsia" w:ascii="仿宋_GB2312" w:hAnsi="仿宋_GB2312" w:cs="仿宋_GB2312"/>
          <w:b w:val="0"/>
          <w:bCs w:val="0"/>
          <w:i w:val="0"/>
          <w:iCs w:val="0"/>
          <w:caps w:val="0"/>
          <w:color w:val="auto"/>
          <w:spacing w:val="0"/>
          <w:sz w:val="32"/>
          <w:szCs w:val="32"/>
          <w:lang w:val="en-US" w:eastAsia="zh-CN"/>
        </w:rPr>
        <w:t>栏目</w:t>
      </w:r>
      <w:r>
        <w:rPr>
          <w:rFonts w:hint="eastAsia" w:ascii="仿宋_GB2312" w:hAnsi="仿宋_GB2312" w:eastAsia="仿宋_GB2312" w:cs="仿宋_GB2312"/>
          <w:b w:val="0"/>
          <w:bCs w:val="0"/>
          <w:i w:val="0"/>
          <w:iCs w:val="0"/>
          <w:caps w:val="0"/>
          <w:color w:val="auto"/>
          <w:spacing w:val="0"/>
          <w:sz w:val="32"/>
          <w:szCs w:val="32"/>
          <w:lang w:val="en-US" w:eastAsia="zh-CN"/>
        </w:rPr>
        <w:t>，按季度公开政府工作报告年度重点工作、</w:t>
      </w:r>
      <w:r>
        <w:rPr>
          <w:rFonts w:hint="eastAsia" w:ascii="仿宋_GB2312" w:hAnsi="仿宋_GB2312" w:cs="仿宋_GB2312"/>
          <w:b w:val="0"/>
          <w:bCs w:val="0"/>
          <w:i w:val="0"/>
          <w:iCs w:val="0"/>
          <w:caps w:val="0"/>
          <w:color w:val="auto"/>
          <w:spacing w:val="0"/>
          <w:sz w:val="32"/>
          <w:szCs w:val="32"/>
          <w:lang w:val="en-US" w:eastAsia="zh-CN"/>
        </w:rPr>
        <w:t>责任分工</w:t>
      </w:r>
      <w:r>
        <w:rPr>
          <w:rFonts w:hint="eastAsia" w:ascii="仿宋_GB2312" w:hAnsi="仿宋_GB2312" w:eastAsia="仿宋_GB2312" w:cs="仿宋_GB2312"/>
          <w:b w:val="0"/>
          <w:bCs w:val="0"/>
          <w:i w:val="0"/>
          <w:iCs w:val="0"/>
          <w:caps w:val="0"/>
          <w:color w:val="auto"/>
          <w:spacing w:val="0"/>
          <w:sz w:val="32"/>
          <w:szCs w:val="32"/>
          <w:lang w:val="en-US" w:eastAsia="zh-CN"/>
        </w:rPr>
        <w:t>、工作进展、监督方式、取得成效等信息</w:t>
      </w:r>
      <w:r>
        <w:rPr>
          <w:rFonts w:hint="eastAsia" w:ascii="仿宋_GB2312" w:hAnsi="仿宋_GB2312" w:cs="仿宋_GB2312"/>
          <w:b w:val="0"/>
          <w:bCs w:val="0"/>
          <w:i w:val="0"/>
          <w:iCs w:val="0"/>
          <w:caps w:val="0"/>
          <w:color w:val="auto"/>
          <w:spacing w:val="0"/>
          <w:sz w:val="32"/>
          <w:szCs w:val="32"/>
          <w:lang w:val="en-US" w:eastAsia="zh-CN"/>
        </w:rPr>
        <w:t>，全年共发布相关信息164条 。</w:t>
      </w:r>
    </w:p>
    <w:p>
      <w:pPr>
        <w:numPr>
          <w:ilvl w:val="0"/>
          <w:numId w:val="0"/>
        </w:numPr>
        <w:ind w:firstLine="672" w:firstLineChars="200"/>
        <w:rPr>
          <w:rFonts w:hint="eastAsia"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cs="仿宋_GB2312"/>
          <w:b w:val="0"/>
          <w:bCs w:val="0"/>
          <w:i w:val="0"/>
          <w:iCs w:val="0"/>
          <w:caps w:val="0"/>
          <w:color w:val="auto"/>
          <w:spacing w:val="0"/>
          <w:sz w:val="32"/>
          <w:szCs w:val="32"/>
          <w:lang w:val="en-US" w:eastAsia="zh-CN"/>
        </w:rPr>
        <w:t>二是</w:t>
      </w:r>
      <w:r>
        <w:rPr>
          <w:rFonts w:hint="eastAsia" w:ascii="仿宋_GB2312" w:hAnsi="仿宋_GB2312" w:eastAsia="仿宋_GB2312" w:cs="仿宋_GB2312"/>
          <w:b w:val="0"/>
          <w:bCs w:val="0"/>
          <w:i w:val="0"/>
          <w:iCs w:val="0"/>
          <w:caps w:val="0"/>
          <w:color w:val="auto"/>
          <w:spacing w:val="0"/>
          <w:sz w:val="32"/>
          <w:szCs w:val="32"/>
          <w:lang w:val="en-US" w:eastAsia="zh-CN"/>
        </w:rPr>
        <w:t>建立“</w:t>
      </w:r>
      <w:r>
        <w:rPr>
          <w:rFonts w:hint="eastAsia" w:ascii="仿宋_GB2312" w:hAnsi="仿宋_GB2312" w:cs="仿宋_GB2312"/>
          <w:b w:val="0"/>
          <w:bCs w:val="0"/>
          <w:i w:val="0"/>
          <w:iCs w:val="0"/>
          <w:caps w:val="0"/>
          <w:color w:val="auto"/>
          <w:spacing w:val="0"/>
          <w:sz w:val="32"/>
          <w:szCs w:val="32"/>
          <w:lang w:val="en-US" w:eastAsia="zh-CN"/>
        </w:rPr>
        <w:t>商河</w:t>
      </w:r>
      <w:r>
        <w:rPr>
          <w:rFonts w:hint="eastAsia" w:ascii="仿宋_GB2312" w:hAnsi="仿宋_GB2312" w:eastAsia="仿宋_GB2312" w:cs="仿宋_GB2312"/>
          <w:b w:val="0"/>
          <w:bCs w:val="0"/>
          <w:i w:val="0"/>
          <w:iCs w:val="0"/>
          <w:caps w:val="0"/>
          <w:color w:val="auto"/>
          <w:spacing w:val="0"/>
          <w:sz w:val="32"/>
          <w:szCs w:val="32"/>
          <w:lang w:val="en-US" w:eastAsia="zh-CN"/>
        </w:rPr>
        <w:t>县</w:t>
      </w:r>
      <w:r>
        <w:rPr>
          <w:rFonts w:hint="eastAsia" w:ascii="仿宋_GB2312" w:hAnsi="仿宋_GB2312" w:cs="仿宋_GB2312"/>
          <w:b w:val="0"/>
          <w:bCs w:val="0"/>
          <w:i w:val="0"/>
          <w:iCs w:val="0"/>
          <w:caps w:val="0"/>
          <w:color w:val="auto"/>
          <w:spacing w:val="0"/>
          <w:sz w:val="32"/>
          <w:szCs w:val="32"/>
          <w:lang w:val="en-US" w:eastAsia="zh-CN"/>
        </w:rPr>
        <w:t>人大建议与政协提案办理情况</w:t>
      </w:r>
      <w:r>
        <w:rPr>
          <w:rFonts w:hint="eastAsia" w:ascii="仿宋_GB2312" w:hAnsi="仿宋_GB2312" w:eastAsia="仿宋_GB2312" w:cs="仿宋_GB2312"/>
          <w:b w:val="0"/>
          <w:bCs w:val="0"/>
          <w:i w:val="0"/>
          <w:iCs w:val="0"/>
          <w:caps w:val="0"/>
          <w:color w:val="auto"/>
          <w:spacing w:val="0"/>
          <w:sz w:val="32"/>
          <w:szCs w:val="32"/>
          <w:lang w:val="en-US" w:eastAsia="zh-CN"/>
        </w:rPr>
        <w:t>”</w:t>
      </w:r>
      <w:r>
        <w:rPr>
          <w:rFonts w:hint="eastAsia" w:ascii="仿宋_GB2312" w:hAnsi="仿宋_GB2312" w:cs="仿宋_GB2312"/>
          <w:b w:val="0"/>
          <w:bCs w:val="0"/>
          <w:i w:val="0"/>
          <w:iCs w:val="0"/>
          <w:caps w:val="0"/>
          <w:color w:val="auto"/>
          <w:spacing w:val="0"/>
          <w:sz w:val="32"/>
          <w:szCs w:val="32"/>
          <w:lang w:val="en-US" w:eastAsia="zh-CN"/>
        </w:rPr>
        <w:t>专题</w:t>
      </w:r>
      <w:r>
        <w:rPr>
          <w:rFonts w:hint="eastAsia" w:ascii="仿宋_GB2312" w:hAnsi="仿宋_GB2312" w:eastAsia="仿宋_GB2312" w:cs="仿宋_GB2312"/>
          <w:b w:val="0"/>
          <w:bCs w:val="0"/>
          <w:i w:val="0"/>
          <w:iCs w:val="0"/>
          <w:caps w:val="0"/>
          <w:color w:val="auto"/>
          <w:spacing w:val="0"/>
          <w:sz w:val="32"/>
          <w:szCs w:val="32"/>
          <w:lang w:val="en-US" w:eastAsia="zh-CN"/>
        </w:rPr>
        <w:t>，对人大代表建议和政协委员提案分类展示，提供会议编号、建议编号、承办单位等多种类别的查询功能，便于公众查找。同时公开发布建议提案办理总体情况，202</w:t>
      </w:r>
      <w:r>
        <w:rPr>
          <w:rFonts w:hint="eastAsia" w:ascii="仿宋_GB2312" w:hAnsi="仿宋_GB2312" w:cs="仿宋_GB2312"/>
          <w:b w:val="0"/>
          <w:bCs w:val="0"/>
          <w:i w:val="0"/>
          <w:iCs w:val="0"/>
          <w:caps w:val="0"/>
          <w:color w:val="auto"/>
          <w:spacing w:val="0"/>
          <w:sz w:val="32"/>
          <w:szCs w:val="32"/>
          <w:lang w:val="en-US" w:eastAsia="zh-CN"/>
        </w:rPr>
        <w:t>1</w:t>
      </w:r>
      <w:r>
        <w:rPr>
          <w:rFonts w:hint="eastAsia" w:ascii="仿宋_GB2312" w:hAnsi="仿宋_GB2312" w:eastAsia="仿宋_GB2312" w:cs="仿宋_GB2312"/>
          <w:b w:val="0"/>
          <w:bCs w:val="0"/>
          <w:i w:val="0"/>
          <w:iCs w:val="0"/>
          <w:caps w:val="0"/>
          <w:color w:val="auto"/>
          <w:spacing w:val="0"/>
          <w:sz w:val="32"/>
          <w:szCs w:val="32"/>
          <w:lang w:val="en-US" w:eastAsia="zh-CN"/>
        </w:rPr>
        <w:t>年，</w:t>
      </w:r>
      <w:r>
        <w:rPr>
          <w:rFonts w:hint="eastAsia" w:ascii="仿宋_GB2312" w:hAnsi="仿宋_GB2312" w:cs="仿宋_GB2312"/>
          <w:b w:val="0"/>
          <w:bCs w:val="0"/>
          <w:i w:val="0"/>
          <w:iCs w:val="0"/>
          <w:caps w:val="0"/>
          <w:color w:val="auto"/>
          <w:spacing w:val="0"/>
          <w:sz w:val="32"/>
          <w:szCs w:val="32"/>
          <w:lang w:val="en-US" w:eastAsia="zh-CN"/>
        </w:rPr>
        <w:t>商河</w:t>
      </w:r>
      <w:r>
        <w:rPr>
          <w:rFonts w:hint="eastAsia" w:ascii="仿宋_GB2312" w:hAnsi="仿宋_GB2312" w:eastAsia="仿宋_GB2312" w:cs="仿宋_GB2312"/>
          <w:b w:val="0"/>
          <w:bCs w:val="0"/>
          <w:i w:val="0"/>
          <w:iCs w:val="0"/>
          <w:caps w:val="0"/>
          <w:color w:val="auto"/>
          <w:spacing w:val="0"/>
          <w:sz w:val="32"/>
          <w:szCs w:val="32"/>
          <w:lang w:val="en-US" w:eastAsia="zh-CN"/>
        </w:rPr>
        <w:t>县各部门共办理人大建议60件，政协提案251件，均在规定时间内办结并在政府网站公开发布。</w:t>
      </w:r>
    </w:p>
    <w:p>
      <w:pPr>
        <w:numPr>
          <w:ilvl w:val="0"/>
          <w:numId w:val="0"/>
        </w:numPr>
        <w:rPr>
          <w:rFonts w:hint="eastAsia" w:ascii="仿宋_GB2312" w:hAnsi="仿宋_GB2312" w:eastAsia="仿宋_GB2312" w:cs="仿宋_GB2312"/>
          <w:b w:val="0"/>
          <w:bCs w:val="0"/>
          <w:i w:val="0"/>
          <w:iCs w:val="0"/>
          <w:caps w:val="0"/>
          <w:color w:val="auto"/>
          <w:spacing w:val="0"/>
          <w:sz w:val="32"/>
          <w:szCs w:val="32"/>
          <w:lang w:val="en-US" w:eastAsia="zh-CN"/>
        </w:rPr>
      </w:pPr>
      <w:r>
        <w:drawing>
          <wp:inline distT="0" distB="0" distL="114300" distR="114300">
            <wp:extent cx="5760085" cy="2879725"/>
            <wp:effectExtent l="0" t="0" r="12065" b="1587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5760085" cy="2879725"/>
                    </a:xfrm>
                    <a:prstGeom prst="rect">
                      <a:avLst/>
                    </a:prstGeom>
                    <a:noFill/>
                    <a:ln>
                      <a:noFill/>
                    </a:ln>
                  </pic:spPr>
                </pic:pic>
              </a:graphicData>
            </a:graphic>
          </wp:inline>
        </w:drawing>
      </w:r>
    </w:p>
    <w:p>
      <w:pPr>
        <w:numPr>
          <w:ilvl w:val="0"/>
          <w:numId w:val="0"/>
        </w:numPr>
      </w:pPr>
      <w:r>
        <w:drawing>
          <wp:inline distT="0" distB="0" distL="114300" distR="114300">
            <wp:extent cx="5760085" cy="2879725"/>
            <wp:effectExtent l="0" t="0" r="12065"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stretch>
                      <a:fillRect/>
                    </a:stretch>
                  </pic:blipFill>
                  <pic:spPr>
                    <a:xfrm>
                      <a:off x="0" y="0"/>
                      <a:ext cx="5760085" cy="2879725"/>
                    </a:xfrm>
                    <a:prstGeom prst="rect">
                      <a:avLst/>
                    </a:prstGeom>
                    <a:noFill/>
                    <a:ln>
                      <a:noFill/>
                    </a:ln>
                  </pic:spPr>
                </pic:pic>
              </a:graphicData>
            </a:graphic>
          </wp:inline>
        </w:drawing>
      </w:r>
    </w:p>
    <w:p>
      <w:pPr>
        <w:numPr>
          <w:ilvl w:val="0"/>
          <w:numId w:val="2"/>
        </w:numPr>
        <w:ind w:firstLine="672" w:firstLineChars="200"/>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重点领域信息公开情况。</w:t>
      </w:r>
    </w:p>
    <w:p>
      <w:pPr>
        <w:keepNext w:val="0"/>
        <w:keepLines w:val="0"/>
        <w:pageBreakBefore w:val="0"/>
        <w:widowControl w:val="0"/>
        <w:numPr>
          <w:ilvl w:val="0"/>
          <w:numId w:val="0"/>
        </w:numPr>
        <w:kinsoku/>
        <w:wordWrap/>
        <w:overflowPunct/>
        <w:topLinePunct w:val="0"/>
        <w:autoSpaceDE/>
        <w:autoSpaceDN/>
        <w:bidi w:val="0"/>
        <w:adjustRightInd/>
        <w:snapToGrid/>
        <w:ind w:firstLine="67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一是加强重大建设项目信息公开工作。</w:t>
      </w:r>
      <w:r>
        <w:rPr>
          <w:rFonts w:hint="eastAsia" w:ascii="仿宋_GB2312" w:hAnsi="仿宋_GB2312" w:eastAsia="仿宋_GB2312" w:cs="仿宋_GB2312"/>
          <w:sz w:val="32"/>
          <w:szCs w:val="32"/>
          <w:lang w:val="en-US" w:eastAsia="zh-CN"/>
        </w:rPr>
        <w:t>公开商河县重大建设项目领域基层政务公开事项标准目录，2021年我县重大建设项目为24个，在商河县门户网站首页设立的“重大建设项目”专栏主动公开重大建设项目的批准服务、批准结果、招投标、征收土地、重大设计及变更、施工、质量安全监督、竣工等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val="en-US" w:eastAsia="zh-CN"/>
        </w:rPr>
      </w:pPr>
      <w:r>
        <w:drawing>
          <wp:inline distT="0" distB="0" distL="114300" distR="114300">
            <wp:extent cx="5760085" cy="2879725"/>
            <wp:effectExtent l="0" t="0" r="12065" b="1587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72" w:firstLineChars="200"/>
        <w:textAlignment w:val="auto"/>
        <w:rPr>
          <w:rFonts w:hint="default" w:ascii="仿宋_GB2312" w:hAnsi="仿宋_GB2312" w:cs="仿宋_GB2312"/>
          <w:sz w:val="32"/>
          <w:szCs w:val="32"/>
          <w:lang w:val="en-US" w:eastAsia="zh-CN"/>
        </w:rPr>
      </w:pPr>
      <w:r>
        <w:rPr>
          <w:rFonts w:hint="default" w:ascii="仿宋_GB2312" w:hAnsi="仿宋_GB2312" w:cs="仿宋_GB2312"/>
          <w:b w:val="0"/>
          <w:bCs w:val="0"/>
          <w:sz w:val="32"/>
          <w:szCs w:val="32"/>
          <w:lang w:eastAsia="zh-CN"/>
        </w:rPr>
        <w:t>二</w:t>
      </w:r>
      <w:r>
        <w:rPr>
          <w:rFonts w:hint="eastAsia" w:ascii="仿宋_GB2312" w:hAnsi="仿宋_GB2312" w:eastAsia="仿宋_GB2312" w:cs="仿宋_GB2312"/>
          <w:b w:val="0"/>
          <w:bCs w:val="0"/>
          <w:sz w:val="32"/>
          <w:szCs w:val="32"/>
          <w:lang w:val="en-US" w:eastAsia="zh-CN"/>
        </w:rPr>
        <w:t>是做好社会公益事业建设领域信息公开工作。</w:t>
      </w:r>
      <w:r>
        <w:rPr>
          <w:rFonts w:hint="eastAsia" w:ascii="仿宋_GB2312" w:hAnsi="仿宋_GB2312" w:cs="仿宋_GB2312"/>
          <w:b w:val="0"/>
          <w:bCs w:val="0"/>
          <w:sz w:val="32"/>
          <w:szCs w:val="32"/>
          <w:lang w:val="en-US" w:eastAsia="zh-CN"/>
        </w:rPr>
        <w:t>设立“商河县乡村振兴专题”，及时公开乡村振兴重要政策、政策解读及2021年度衔接资金分配结果等信息；设立</w:t>
      </w:r>
      <w:r>
        <w:rPr>
          <w:rFonts w:hint="eastAsia" w:ascii="仿宋_GB2312" w:hAnsi="仿宋_GB2312" w:eastAsia="仿宋_GB2312" w:cs="仿宋_GB2312"/>
          <w:sz w:val="32"/>
          <w:szCs w:val="32"/>
          <w:lang w:val="en-US" w:eastAsia="zh-CN"/>
        </w:rPr>
        <w:t>养老服务</w:t>
      </w:r>
      <w:r>
        <w:rPr>
          <w:rFonts w:hint="eastAsia" w:ascii="仿宋_GB2312" w:hAnsi="仿宋_GB2312" w:cs="仿宋_GB2312"/>
          <w:sz w:val="32"/>
          <w:szCs w:val="32"/>
          <w:lang w:val="en-US" w:eastAsia="zh-CN"/>
        </w:rPr>
        <w:t>专栏，及时公开养老服务</w:t>
      </w:r>
      <w:r>
        <w:rPr>
          <w:rFonts w:hint="eastAsia" w:ascii="仿宋_GB2312" w:hAnsi="仿宋_GB2312" w:eastAsia="仿宋_GB2312" w:cs="仿宋_GB2312"/>
          <w:sz w:val="32"/>
          <w:szCs w:val="32"/>
          <w:lang w:val="en-US" w:eastAsia="zh-CN"/>
        </w:rPr>
        <w:t>领域基层政务公开事项标准目录</w:t>
      </w:r>
      <w:r>
        <w:rPr>
          <w:rFonts w:hint="eastAsia" w:ascii="仿宋_GB2312" w:hAnsi="仿宋_GB2312" w:cs="仿宋_GB2312"/>
          <w:sz w:val="32"/>
          <w:szCs w:val="32"/>
          <w:lang w:val="en-US" w:eastAsia="zh-CN"/>
        </w:rPr>
        <w:t>、通用政策、补贴发放情况等信息；设立食品药品监管专栏，及时食品药品领域基层政务公开事项标准目录、公开监督计划和监督检查结果等信息；设立“义务教育”专栏，公开义务教育领域基层政务公开标准目录，义务教育学校名录、2021年招生政策、计划、范围等信息。设立“疫情防控”专题，及时发布疫情防控的最新通知、公告、针对不同人群和区域进行专项健康科普信息。</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_GB2312" w:hAnsi="仿宋_GB2312" w:cs="仿宋_GB2312"/>
          <w:sz w:val="32"/>
          <w:szCs w:val="32"/>
          <w:lang w:val="en-US" w:eastAsia="zh-CN"/>
        </w:rPr>
      </w:pPr>
      <w:r>
        <w:drawing>
          <wp:inline distT="0" distB="0" distL="114300" distR="114300">
            <wp:extent cx="5760085" cy="2879725"/>
            <wp:effectExtent l="0" t="0" r="12065" b="15875"/>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13"/>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72"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cs="仿宋_GB2312"/>
          <w:b w:val="0"/>
          <w:bCs w:val="0"/>
          <w:sz w:val="32"/>
          <w:szCs w:val="32"/>
          <w:lang w:eastAsia="zh-CN"/>
        </w:rPr>
        <w:t>三</w:t>
      </w:r>
      <w:r>
        <w:rPr>
          <w:rFonts w:hint="eastAsia" w:ascii="仿宋_GB2312" w:hAnsi="仿宋_GB2312" w:eastAsia="仿宋_GB2312" w:cs="仿宋_GB2312"/>
          <w:b w:val="0"/>
          <w:bCs w:val="0"/>
          <w:sz w:val="32"/>
          <w:szCs w:val="32"/>
          <w:lang w:val="en-US" w:eastAsia="zh-CN"/>
        </w:rPr>
        <w:t>是细化财政信息公开。</w:t>
      </w:r>
      <w:r>
        <w:rPr>
          <w:rFonts w:hint="eastAsia" w:ascii="仿宋_GB2312" w:hAnsi="仿宋_GB2312" w:eastAsia="仿宋_GB2312" w:cs="仿宋_GB2312"/>
          <w:sz w:val="32"/>
          <w:szCs w:val="32"/>
          <w:lang w:val="en-US" w:eastAsia="zh-CN"/>
        </w:rPr>
        <w:t>公开商河县财政预决算领域基层政务公开事项标准目录，设立财政信息和财政预决算</w:t>
      </w:r>
      <w:r>
        <w:rPr>
          <w:rFonts w:hint="eastAsia" w:ascii="仿宋_GB2312" w:hAnsi="仿宋_GB2312" w:cs="仿宋_GB2312"/>
          <w:sz w:val="32"/>
          <w:szCs w:val="32"/>
          <w:lang w:val="en-US" w:eastAsia="zh-CN"/>
        </w:rPr>
        <w:t>专题</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对内容进行分级分类，及时公开本级政府和部门预决算说明、表格、“三公”经费预决算情况以及重点部门的绩效文本、重点项目绩效目标和评价结果；按月公开财政收支情况和解读财政收支增减变化情况并定期预判财政收入走势；公开地方政府债务限额、余额等信息。全年公开财政类有关信息</w:t>
      </w:r>
      <w:r>
        <w:rPr>
          <w:rFonts w:hint="eastAsia" w:ascii="仿宋_GB2312" w:hAnsi="仿宋_GB2312" w:eastAsia="仿宋_GB2312" w:cs="仿宋_GB2312"/>
          <w:sz w:val="32"/>
          <w:szCs w:val="32"/>
          <w:lang w:val="en-US" w:eastAsia="zh-CN"/>
        </w:rPr>
        <w:t>406条。</w:t>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760085" cy="2879725"/>
            <wp:effectExtent l="0" t="0" r="12065" b="1587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r>
        <w:drawing>
          <wp:inline distT="0" distB="0" distL="114300" distR="114300">
            <wp:extent cx="5760085" cy="2796540"/>
            <wp:effectExtent l="0" t="0" r="12065" b="381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a:stretch>
                      <a:fillRect/>
                    </a:stretch>
                  </pic:blipFill>
                  <pic:spPr>
                    <a:xfrm>
                      <a:off x="0" y="0"/>
                      <a:ext cx="5760085" cy="27965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72" w:firstLineChars="200"/>
        <w:textAlignment w:val="auto"/>
        <w:rPr>
          <w:rFonts w:hint="eastAsia" w:ascii="仿宋_GB2312" w:hAnsi="仿宋_GB2312" w:cs="仿宋_GB2312"/>
          <w:sz w:val="32"/>
          <w:szCs w:val="32"/>
          <w:lang w:val="en-US" w:eastAsia="zh-CN"/>
        </w:rPr>
      </w:pPr>
      <w:r>
        <w:rPr>
          <w:rFonts w:hint="eastAsia" w:ascii="仿宋_GB2312" w:hAnsi="仿宋_GB2312" w:cs="仿宋_GB2312"/>
          <w:b w:val="0"/>
          <w:bCs w:val="0"/>
          <w:sz w:val="32"/>
          <w:szCs w:val="32"/>
          <w:lang w:val="en-US" w:eastAsia="zh-CN"/>
        </w:rPr>
        <w:t>四</w:t>
      </w:r>
      <w:r>
        <w:rPr>
          <w:rFonts w:hint="eastAsia" w:ascii="仿宋_GB2312" w:hAnsi="仿宋_GB2312" w:eastAsia="仿宋_GB2312" w:cs="仿宋_GB2312"/>
          <w:b w:val="0"/>
          <w:bCs w:val="0"/>
          <w:sz w:val="32"/>
          <w:szCs w:val="32"/>
          <w:lang w:val="en-US" w:eastAsia="zh-CN"/>
        </w:rPr>
        <w:t>是推进公共企事业单位信息公开。</w:t>
      </w:r>
      <w:r>
        <w:rPr>
          <w:rFonts w:hint="eastAsia" w:ascii="仿宋_GB2312" w:hAnsi="仿宋_GB2312" w:eastAsia="仿宋_GB2312" w:cs="仿宋_GB2312"/>
          <w:sz w:val="32"/>
          <w:szCs w:val="32"/>
          <w:lang w:val="en-US" w:eastAsia="zh-CN"/>
        </w:rPr>
        <w:t>围绕水电气热、教育、医疗、环保、公共交通等从事社会公益事业的公共企事业单位开展信息公开工作，全面公开基本概况、政策法规、办事信息等。</w:t>
      </w:r>
      <w:r>
        <w:rPr>
          <w:rFonts w:hint="eastAsia" w:ascii="仿宋_GB2312" w:hAnsi="仿宋_GB2312" w:cs="仿宋_GB2312"/>
          <w:sz w:val="32"/>
          <w:szCs w:val="32"/>
          <w:lang w:val="en-US" w:eastAsia="zh-CN"/>
        </w:rPr>
        <w:t>全年共发布公共企事业单位信息52条。</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72" w:firstLineChars="200"/>
        <w:textAlignment w:val="auto"/>
        <w:rPr>
          <w:rFonts w:hint="eastAsia" w:ascii="仿宋_GB2312" w:hAnsi="仿宋_GB2312" w:cs="仿宋_GB2312"/>
          <w:b/>
          <w:bCs/>
          <w:sz w:val="32"/>
          <w:szCs w:val="32"/>
          <w:lang w:val="en-US" w:eastAsia="zh-CN"/>
        </w:rPr>
      </w:pPr>
      <w:r>
        <w:rPr>
          <w:rFonts w:hint="eastAsia" w:ascii="仿宋_GB2312" w:hAnsi="仿宋_GB2312" w:cs="仿宋_GB2312"/>
          <w:b/>
          <w:bCs/>
          <w:sz w:val="32"/>
          <w:szCs w:val="32"/>
          <w:lang w:val="en-US" w:eastAsia="zh-CN"/>
        </w:rPr>
        <w:t>加大政策解读和回应关切力度。</w:t>
      </w:r>
    </w:p>
    <w:p>
      <w:pPr>
        <w:keepNext w:val="0"/>
        <w:keepLines w:val="0"/>
        <w:pageBreakBefore w:val="0"/>
        <w:widowControl w:val="0"/>
        <w:kinsoku/>
        <w:overflowPunct/>
        <w:topLinePunct w:val="0"/>
        <w:autoSpaceDE/>
        <w:autoSpaceDN/>
        <w:bidi w:val="0"/>
        <w:adjustRightInd/>
        <w:snapToGrid/>
        <w:spacing w:line="240" w:lineRule="auto"/>
        <w:ind w:firstLine="67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根据《山东省人民政府办公厅关于进一步规范和加强政策解读工作的通知》（鲁政办字〔2021〕115号）要求，按照全县经济社会发展总体思路和主要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目标，深入解读重要政策措施，全面公开、精准解读相关政策</w:t>
      </w:r>
      <w:r>
        <w:rPr>
          <w:rFonts w:hint="eastAsia" w:ascii="仿宋_GB2312" w:hAnsi="仿宋_GB2312" w:cs="仿宋_GB2312"/>
          <w:color w:val="000000" w:themeColor="text1"/>
          <w:sz w:val="32"/>
          <w:szCs w:val="32"/>
          <w:lang w:val="en-US" w:eastAsia="zh-CN"/>
          <w14:textFill>
            <w14:solidFill>
              <w14:schemeClr w14:val="tx1"/>
            </w14:solidFill>
          </w14:textFill>
        </w:rPr>
        <w:t>。设立“政策解读”专题，丰富解读形式，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全年共发布文字解读22次、图片</w:t>
      </w:r>
      <w:r>
        <w:rPr>
          <w:rFonts w:hint="eastAsia" w:ascii="仿宋_GB2312" w:hAnsi="仿宋_GB2312" w:eastAsia="仿宋_GB2312" w:cs="仿宋_GB2312"/>
          <w:sz w:val="32"/>
          <w:szCs w:val="32"/>
          <w:lang w:val="en-US" w:eastAsia="zh-CN"/>
        </w:rPr>
        <w:t>解读24次、领导干部带头解读8次、媒体解读21次，音视频解读2次，动漫解读1次</w:t>
      </w:r>
      <w:r>
        <w:rPr>
          <w:rFonts w:hint="eastAsia" w:ascii="仿宋_GB2312" w:hAnsi="仿宋_GB2312" w:cs="仿宋_GB2312"/>
          <w:sz w:val="32"/>
          <w:szCs w:val="32"/>
          <w:lang w:val="en-US" w:eastAsia="zh-CN"/>
        </w:rPr>
        <w:t>，专家解读2次，数字化解读3次、政策吹风会1次、简明问答6次</w:t>
      </w:r>
      <w:r>
        <w:rPr>
          <w:rFonts w:hint="eastAsia" w:ascii="仿宋_GB2312" w:hAnsi="仿宋_GB2312" w:eastAsia="仿宋_GB2312" w:cs="仿宋_GB2312"/>
          <w:sz w:val="32"/>
          <w:szCs w:val="32"/>
          <w:lang w:val="en-US" w:eastAsia="zh-CN"/>
        </w:rPr>
        <w:t>。</w:t>
      </w:r>
    </w:p>
    <w:p>
      <w:pPr>
        <w:keepNext w:val="0"/>
        <w:keepLines w:val="0"/>
        <w:pageBreakBefore w:val="0"/>
        <w:widowControl w:val="0"/>
        <w:kinsoku/>
        <w:overflowPunct/>
        <w:topLinePunct w:val="0"/>
        <w:autoSpaceDE/>
        <w:autoSpaceDN/>
        <w:bidi w:val="0"/>
        <w:adjustRightInd/>
        <w:snapToGrid/>
        <w:spacing w:line="240" w:lineRule="auto"/>
        <w:ind w:firstLine="672"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设立“回应关切”栏目，及时回应社会关切</w:t>
      </w:r>
      <w:r>
        <w:rPr>
          <w:rFonts w:hint="eastAsia" w:ascii="仿宋_GB2312" w:hAnsi="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政府网站“政民互动”板块，开设有“县长信箱”、“意见征集”</w:t>
      </w:r>
      <w:r>
        <w:rPr>
          <w:rFonts w:hint="eastAsia" w:ascii="仿宋_GB2312" w:hAnsi="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“在线访谈”</w:t>
      </w:r>
      <w:r>
        <w:rPr>
          <w:rFonts w:hint="eastAsia" w:ascii="仿宋_GB2312" w:hAnsi="仿宋_GB2312" w:cs="仿宋_GB2312"/>
          <w:color w:val="000000" w:themeColor="text1"/>
          <w:sz w:val="32"/>
          <w:szCs w:val="32"/>
          <w:lang w:val="en-US" w:eastAsia="zh-CN"/>
          <w14:textFill>
            <w14:solidFill>
              <w14:schemeClr w14:val="tx1"/>
            </w14:solidFill>
          </w14:textFill>
        </w:rPr>
        <w:t>、“回应关切”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栏目，主动接受群众建言献策、倾听群众意见建议，解决群众面临的困难问题，切实提高群众对政府工作的满意度。2021年度，共处理网站留言</w:t>
      </w:r>
      <w:r>
        <w:rPr>
          <w:rFonts w:hint="eastAsia" w:ascii="仿宋_GB2312" w:hAnsi="仿宋_GB2312" w:cs="仿宋_GB2312"/>
          <w:color w:val="000000" w:themeColor="text1"/>
          <w:sz w:val="32"/>
          <w:szCs w:val="32"/>
          <w:lang w:val="en-US" w:eastAsia="zh-CN"/>
          <w14:textFill>
            <w14:solidFill>
              <w14:schemeClr w14:val="tx1"/>
            </w14:solidFill>
          </w14:textFill>
        </w:rPr>
        <w:t>52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条，均按时办结；发布</w:t>
      </w:r>
      <w:r>
        <w:rPr>
          <w:rFonts w:hint="eastAsia" w:ascii="仿宋_GB2312" w:hAnsi="仿宋_GB2312" w:cs="仿宋_GB2312"/>
          <w:color w:val="000000" w:themeColor="text1"/>
          <w:sz w:val="32"/>
          <w:szCs w:val="32"/>
          <w:lang w:val="en-US" w:eastAsia="zh-CN"/>
          <w14:textFill>
            <w14:solidFill>
              <w14:schemeClr w14:val="tx1"/>
            </w14:solidFill>
          </w14:textFill>
        </w:rPr>
        <w:t>意见征集9条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cs="仿宋_GB2312"/>
          <w:color w:val="000000" w:themeColor="text1"/>
          <w:sz w:val="32"/>
          <w:szCs w:val="32"/>
          <w:lang w:val="en-US" w:eastAsia="zh-CN"/>
          <w14:textFill>
            <w14:solidFill>
              <w14:schemeClr w14:val="tx1"/>
            </w14:solidFill>
          </w14:textFill>
        </w:rPr>
        <w:t>网上调查3条，在线访谈1期。</w:t>
      </w:r>
    </w:p>
    <w:p>
      <w:pPr>
        <w:keepNext w:val="0"/>
        <w:keepLines w:val="0"/>
        <w:pageBreakBefore w:val="0"/>
        <w:widowControl w:val="0"/>
        <w:kinsoku/>
        <w:overflowPunct/>
        <w:topLinePunct w:val="0"/>
        <w:autoSpaceDE/>
        <w:autoSpaceDN/>
        <w:bidi w:val="0"/>
        <w:adjustRightInd/>
        <w:snapToGrid/>
        <w:spacing w:line="240" w:lineRule="auto"/>
        <w:textAlignment w:val="auto"/>
      </w:pPr>
      <w:r>
        <w:drawing>
          <wp:inline distT="0" distB="0" distL="114300" distR="114300">
            <wp:extent cx="5760085" cy="2879725"/>
            <wp:effectExtent l="0" t="0" r="12065" b="1587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snapToGrid/>
        <w:spacing w:line="240" w:lineRule="auto"/>
        <w:textAlignment w:val="auto"/>
        <w:rPr>
          <w:rFonts w:hint="default"/>
          <w:lang w:val="en-US" w:eastAsia="zh-CN"/>
        </w:rPr>
      </w:pPr>
      <w:r>
        <w:drawing>
          <wp:inline distT="0" distB="0" distL="114300" distR="114300">
            <wp:extent cx="5760085" cy="2879725"/>
            <wp:effectExtent l="0" t="0" r="12065" b="1587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72"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依申请公开政府信息情况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eastAsia="仿宋_GB2312" w:cs="仿宋_GB2312"/>
          <w:sz w:val="32"/>
          <w:szCs w:val="32"/>
        </w:rPr>
      </w:pPr>
      <w:r>
        <w:rPr>
          <w:rFonts w:hint="eastAsia" w:ascii="仿宋_GB2312" w:hAnsi="仿宋_GB2312" w:cs="仿宋_GB2312"/>
          <w:sz w:val="32"/>
          <w:szCs w:val="32"/>
          <w:lang w:val="en-US" w:eastAsia="zh-CN"/>
        </w:rPr>
        <w:t>2021年，</w:t>
      </w:r>
      <w:r>
        <w:rPr>
          <w:rFonts w:hint="eastAsia" w:ascii="仿宋_GB2312" w:hAnsi="仿宋_GB2312" w:eastAsia="仿宋_GB2312" w:cs="仿宋_GB2312"/>
          <w:sz w:val="32"/>
          <w:szCs w:val="32"/>
        </w:rPr>
        <w:t>我县认真贯彻实施</w:t>
      </w:r>
      <w:r>
        <w:rPr>
          <w:rFonts w:hint="eastAsia" w:ascii="仿宋_GB2312" w:hAnsi="仿宋_GB2312" w:eastAsia="仿宋_GB2312" w:cs="仿宋_GB2312"/>
          <w:sz w:val="32"/>
          <w:szCs w:val="32"/>
          <w:lang w:eastAsia="zh-CN"/>
        </w:rPr>
        <w:t>新修订的</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中华人民共和国</w:t>
      </w:r>
      <w:r>
        <w:rPr>
          <w:rFonts w:hint="eastAsia" w:ascii="仿宋_GB2312" w:hAnsi="仿宋_GB2312" w:eastAsia="仿宋_GB2312" w:cs="仿宋_GB2312"/>
          <w:sz w:val="32"/>
          <w:szCs w:val="32"/>
        </w:rPr>
        <w:t>政府信息公开条例》，切实加强政府信息</w:t>
      </w:r>
      <w:r>
        <w:rPr>
          <w:rFonts w:hint="eastAsia" w:ascii="仿宋_GB2312" w:hAnsi="仿宋_GB2312" w:eastAsia="仿宋_GB2312" w:cs="仿宋_GB2312"/>
          <w:sz w:val="32"/>
          <w:szCs w:val="32"/>
          <w:lang w:eastAsia="zh-CN"/>
        </w:rPr>
        <w:t>依</w:t>
      </w:r>
      <w:r>
        <w:rPr>
          <w:rFonts w:hint="eastAsia" w:ascii="仿宋_GB2312" w:hAnsi="仿宋_GB2312" w:eastAsia="仿宋_GB2312" w:cs="仿宋_GB2312"/>
          <w:sz w:val="32"/>
          <w:szCs w:val="32"/>
        </w:rPr>
        <w:t>申请公开工作。健全依申请公开制度，积极拓展公开形式，做好申请主体及内容审查工作，严把受理环节、严把办理环节、严把答复关，认真做好相关信息资料的收集整理,做好与申请人的沟通联系,及时向申请人按期进行回复，确保依申请公开工作有序开展。</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截至</w:t>
      </w:r>
      <w:r>
        <w:rPr>
          <w:rFonts w:hint="eastAsia" w:ascii="仿宋_GB2312" w:hAnsi="仿宋_GB2312" w:cs="仿宋_GB2312"/>
          <w:sz w:val="32"/>
          <w:szCs w:val="32"/>
          <w:lang w:val="en-US" w:eastAsia="zh-CN"/>
        </w:rPr>
        <w:t>2021年12月31日</w:t>
      </w:r>
      <w:r>
        <w:rPr>
          <w:rFonts w:hint="eastAsia" w:ascii="仿宋_GB2312" w:hAnsi="仿宋_GB2312" w:eastAsia="仿宋_GB2312" w:cs="仿宋_GB2312"/>
          <w:sz w:val="32"/>
          <w:szCs w:val="32"/>
          <w:lang w:val="en-US" w:eastAsia="zh-CN"/>
        </w:rPr>
        <w:t>，</w:t>
      </w:r>
      <w:r>
        <w:rPr>
          <w:rFonts w:hint="eastAsia" w:ascii="仿宋_GB2312" w:hAnsi="仿宋_GB2312" w:cs="仿宋_GB2312"/>
          <w:sz w:val="32"/>
          <w:szCs w:val="32"/>
          <w:lang w:val="en-US" w:eastAsia="zh-CN"/>
        </w:rPr>
        <w:t>全</w:t>
      </w:r>
      <w:r>
        <w:rPr>
          <w:rFonts w:hint="eastAsia" w:ascii="仿宋_GB2312" w:hAnsi="仿宋_GB2312" w:eastAsia="仿宋_GB2312" w:cs="仿宋_GB2312"/>
          <w:sz w:val="32"/>
          <w:szCs w:val="32"/>
        </w:rPr>
        <w:t>县各级各部门共收到政府信息公开申请</w:t>
      </w:r>
      <w:r>
        <w:rPr>
          <w:rFonts w:hint="eastAsia" w:ascii="仿宋_GB2312" w:hAnsi="仿宋_GB2312" w:cs="仿宋_GB2312"/>
          <w:sz w:val="32"/>
          <w:szCs w:val="32"/>
          <w:lang w:val="en-US" w:eastAsia="zh-CN"/>
        </w:rPr>
        <w:t>63</w:t>
      </w:r>
      <w:r>
        <w:rPr>
          <w:rFonts w:hint="eastAsia" w:ascii="仿宋_GB2312" w:hAnsi="仿宋_GB2312" w:eastAsia="仿宋_GB2312" w:cs="仿宋_GB2312"/>
          <w:sz w:val="32"/>
          <w:szCs w:val="32"/>
        </w:rPr>
        <w:t>件</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rPr>
        <w:t>均严格按有关规定和程序进行了答复，申请政府信息公开内容主要涉及：土地征收、房屋征收补偿、城乡规划等方面信息。从申请答复看，“予以公开”</w:t>
      </w:r>
      <w:r>
        <w:rPr>
          <w:rFonts w:hint="eastAsia" w:ascii="仿宋_GB2312" w:hAnsi="仿宋_GB2312" w:cs="仿宋_GB2312"/>
          <w:sz w:val="32"/>
          <w:szCs w:val="32"/>
          <w:lang w:val="en-US" w:eastAsia="zh-CN"/>
        </w:rPr>
        <w:t>29</w:t>
      </w:r>
      <w:r>
        <w:rPr>
          <w:rFonts w:hint="eastAsia" w:ascii="仿宋_GB2312" w:hAnsi="仿宋_GB2312" w:eastAsia="仿宋_GB2312" w:cs="仿宋_GB2312"/>
          <w:sz w:val="32"/>
          <w:szCs w:val="32"/>
        </w:rPr>
        <w:t>件，“部分公开”</w:t>
      </w:r>
      <w:r>
        <w:rPr>
          <w:rFonts w:hint="eastAsia" w:ascii="仿宋_GB2312" w:hAnsi="仿宋_GB2312" w:cs="仿宋_GB2312"/>
          <w:sz w:val="32"/>
          <w:szCs w:val="32"/>
          <w:lang w:val="en-US" w:eastAsia="zh-CN"/>
        </w:rPr>
        <w:t>13</w:t>
      </w:r>
      <w:r>
        <w:rPr>
          <w:rFonts w:hint="eastAsia" w:ascii="仿宋_GB2312" w:hAnsi="仿宋_GB2312" w:eastAsia="仿宋_GB2312" w:cs="仿宋_GB2312"/>
          <w:sz w:val="32"/>
          <w:szCs w:val="32"/>
        </w:rPr>
        <w:t>件，</w:t>
      </w:r>
      <w:r>
        <w:rPr>
          <w:rFonts w:hint="eastAsia" w:ascii="仿宋_GB2312" w:hAnsi="仿宋_GB2312" w:cs="仿宋_GB2312"/>
          <w:sz w:val="32"/>
          <w:szCs w:val="32"/>
          <w:lang w:val="en-US" w:eastAsia="zh-CN"/>
        </w:rPr>
        <w:t>不予公开1件，</w:t>
      </w:r>
      <w:r>
        <w:rPr>
          <w:rFonts w:hint="eastAsia" w:ascii="仿宋_GB2312" w:hAnsi="仿宋_GB2312" w:eastAsia="仿宋_GB2312" w:cs="仿宋_GB2312"/>
          <w:sz w:val="32"/>
          <w:szCs w:val="32"/>
        </w:rPr>
        <w:t>“无法提供”</w:t>
      </w:r>
      <w:r>
        <w:rPr>
          <w:rFonts w:hint="eastAsia" w:ascii="仿宋_GB2312" w:hAnsi="仿宋_GB2312" w:cs="仿宋_GB2312"/>
          <w:sz w:val="32"/>
          <w:szCs w:val="32"/>
          <w:lang w:val="en-US" w:eastAsia="zh-CN"/>
        </w:rPr>
        <w:t>14</w:t>
      </w:r>
      <w:r>
        <w:rPr>
          <w:rFonts w:hint="eastAsia" w:ascii="仿宋_GB2312" w:hAnsi="仿宋_GB2312" w:eastAsia="仿宋_GB2312" w:cs="仿宋_GB2312"/>
          <w:sz w:val="32"/>
          <w:szCs w:val="32"/>
        </w:rPr>
        <w:t>件，“其他处理”</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件，</w:t>
      </w:r>
      <w:r>
        <w:rPr>
          <w:rFonts w:hint="eastAsia" w:ascii="仿宋_GB2312" w:hAnsi="仿宋_GB2312" w:cs="仿宋_GB2312"/>
          <w:sz w:val="32"/>
          <w:szCs w:val="32"/>
          <w:lang w:val="en-US" w:eastAsia="zh-CN"/>
        </w:rPr>
        <w:t>转接下年度继续办理1件。</w:t>
      </w:r>
      <w:r>
        <w:rPr>
          <w:rFonts w:hint="eastAsia" w:ascii="仿宋_GB2312" w:hAnsi="仿宋_GB2312" w:eastAsia="仿宋_GB2312" w:cs="仿宋_GB2312"/>
          <w:sz w:val="32"/>
          <w:szCs w:val="32"/>
        </w:rPr>
        <w:t>所占比重分别为4</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1.5</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22</w:t>
      </w:r>
      <w:r>
        <w:rPr>
          <w:rFonts w:hint="eastAsia" w:ascii="仿宋_GB2312" w:hAnsi="仿宋_GB2312" w:eastAsia="仿宋_GB2312" w:cs="仿宋_GB2312"/>
          <w:sz w:val="32"/>
          <w:szCs w:val="32"/>
        </w:rPr>
        <w:t>%、</w:t>
      </w:r>
      <w:r>
        <w:rPr>
          <w:rFonts w:hint="eastAsia" w:ascii="仿宋_GB2312" w:hAnsi="仿宋_GB2312" w:cs="仿宋_GB2312"/>
          <w:sz w:val="32"/>
          <w:szCs w:val="32"/>
          <w:lang w:val="en-US" w:eastAsia="zh-CN"/>
        </w:rPr>
        <w:t>8</w:t>
      </w:r>
      <w:r>
        <w:rPr>
          <w:rFonts w:hint="eastAsia" w:ascii="仿宋_GB2312" w:hAnsi="仿宋_GB2312" w:eastAsia="仿宋_GB2312" w:cs="仿宋_GB2312"/>
          <w:sz w:val="32"/>
          <w:szCs w:val="32"/>
        </w:rPr>
        <w:t>%、1</w:t>
      </w:r>
      <w:r>
        <w:rPr>
          <w:rFonts w:hint="eastAsia" w:ascii="仿宋_GB2312" w:hAnsi="仿宋_GB2312" w:cs="仿宋_GB2312"/>
          <w:sz w:val="32"/>
          <w:szCs w:val="32"/>
          <w:lang w:val="en-US" w:eastAsia="zh-CN"/>
        </w:rPr>
        <w:t>.5</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22860</wp:posOffset>
            </wp:positionH>
            <wp:positionV relativeFrom="paragraph">
              <wp:posOffset>143510</wp:posOffset>
            </wp:positionV>
            <wp:extent cx="5775960" cy="3039745"/>
            <wp:effectExtent l="4445" t="4445" r="10795" b="22860"/>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rFonts w:hint="eastAsia" w:ascii="楷体" w:hAnsi="楷体" w:eastAsia="楷体" w:cs="楷体"/>
          <w:b w:val="0"/>
          <w:bCs w:val="0"/>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我</w:t>
      </w:r>
      <w:r>
        <w:rPr>
          <w:rFonts w:hint="eastAsia" w:ascii="仿宋_GB2312" w:hAnsi="仿宋_GB2312" w:eastAsia="仿宋_GB2312" w:cs="仿宋_GB2312"/>
          <w:sz w:val="32"/>
          <w:szCs w:val="32"/>
        </w:rPr>
        <w:t>县因政府信息公开提起</w:t>
      </w:r>
      <w:r>
        <w:rPr>
          <w:rFonts w:hint="eastAsia" w:ascii="仿宋_GB2312" w:hAnsi="仿宋_GB2312" w:eastAsia="仿宋_GB2312" w:cs="仿宋_GB2312"/>
          <w:sz w:val="32"/>
          <w:szCs w:val="32"/>
          <w:lang w:val="en-US" w:eastAsia="zh-CN"/>
        </w:rPr>
        <w:t>行政复议</w:t>
      </w:r>
      <w:r>
        <w:rPr>
          <w:rFonts w:hint="eastAsia" w:ascii="仿宋_GB2312" w:hAnsi="仿宋_GB2312" w:cs="仿宋_GB2312"/>
          <w:sz w:val="32"/>
          <w:szCs w:val="32"/>
          <w:lang w:val="en-US" w:eastAsia="zh-CN"/>
        </w:rPr>
        <w:t>1件，申请人已撤回行政复议申请。因政府信息公开提起行政诉讼0件。</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72"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政府信息管理情况</w:t>
      </w:r>
    </w:p>
    <w:p>
      <w:pPr>
        <w:numPr>
          <w:ilvl w:val="0"/>
          <w:numId w:val="0"/>
        </w:numPr>
        <w:ind w:firstLine="67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是加强政府信息管理制度建设。认真落实信息公开属性源头认定、信息发布保密审查等工作机制，积极推动主动公开，及时准确回应社会关切，及时发布主动公开信息，畅通依申请公开渠道，有效保障政府信息公开的安全性和时效性。</w:t>
      </w:r>
    </w:p>
    <w:p>
      <w:pPr>
        <w:numPr>
          <w:ilvl w:val="0"/>
          <w:numId w:val="0"/>
        </w:numPr>
        <w:ind w:firstLine="67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二是</w:t>
      </w:r>
      <w:r>
        <w:rPr>
          <w:rFonts w:hint="eastAsia" w:ascii="仿宋_GB2312" w:hAnsi="仿宋_GB2312" w:cs="仿宋_GB2312"/>
          <w:color w:val="auto"/>
          <w:sz w:val="32"/>
          <w:szCs w:val="32"/>
          <w:lang w:val="en-US" w:eastAsia="zh-CN"/>
        </w:rPr>
        <w:t>建立</w:t>
      </w:r>
      <w:r>
        <w:rPr>
          <w:rFonts w:hint="eastAsia" w:ascii="仿宋_GB2312" w:hAnsi="仿宋_GB2312" w:eastAsia="仿宋_GB2312" w:cs="仿宋_GB2312"/>
          <w:color w:val="auto"/>
          <w:sz w:val="32"/>
          <w:szCs w:val="32"/>
          <w:lang w:val="en-US" w:eastAsia="zh-CN"/>
        </w:rPr>
        <w:t>政策文件集中发布平台。开设政策文件集中发布平台，平台</w:t>
      </w:r>
      <w:r>
        <w:rPr>
          <w:rFonts w:hint="eastAsia" w:ascii="仿宋_GB2312" w:hAnsi="仿宋_GB2312" w:cs="仿宋_GB2312"/>
          <w:color w:val="auto"/>
          <w:sz w:val="32"/>
          <w:szCs w:val="32"/>
          <w:lang w:val="en-US" w:eastAsia="zh-CN"/>
        </w:rPr>
        <w:t>对县</w:t>
      </w:r>
      <w:r>
        <w:rPr>
          <w:rFonts w:hint="eastAsia" w:ascii="仿宋_GB2312" w:hAnsi="仿宋_GB2312" w:eastAsia="仿宋_GB2312" w:cs="仿宋_GB2312"/>
          <w:color w:val="auto"/>
          <w:sz w:val="32"/>
          <w:szCs w:val="32"/>
          <w:lang w:val="en-US" w:eastAsia="zh-CN"/>
        </w:rPr>
        <w:t>政府文件、</w:t>
      </w:r>
      <w:r>
        <w:rPr>
          <w:rFonts w:hint="eastAsia" w:ascii="仿宋_GB2312" w:hAnsi="仿宋_GB2312" w:cs="仿宋_GB2312"/>
          <w:color w:val="auto"/>
          <w:sz w:val="32"/>
          <w:szCs w:val="32"/>
          <w:lang w:val="en-US" w:eastAsia="zh-CN"/>
        </w:rPr>
        <w:t>县</w:t>
      </w:r>
      <w:r>
        <w:rPr>
          <w:rFonts w:hint="eastAsia" w:ascii="仿宋_GB2312" w:hAnsi="仿宋_GB2312" w:eastAsia="仿宋_GB2312" w:cs="仿宋_GB2312"/>
          <w:color w:val="auto"/>
          <w:sz w:val="32"/>
          <w:szCs w:val="32"/>
          <w:lang w:val="en-US" w:eastAsia="zh-CN"/>
        </w:rPr>
        <w:t>政府办公室文件、规范性文件</w:t>
      </w:r>
      <w:r>
        <w:rPr>
          <w:rFonts w:hint="eastAsia" w:ascii="仿宋_GB2312" w:hAnsi="仿宋_GB2312" w:cs="仿宋_GB2312"/>
          <w:color w:val="auto"/>
          <w:sz w:val="32"/>
          <w:szCs w:val="32"/>
          <w:lang w:val="en-US" w:eastAsia="zh-CN"/>
        </w:rPr>
        <w:t>、部门文件进行分类发布，</w:t>
      </w:r>
      <w:r>
        <w:rPr>
          <w:rFonts w:hint="eastAsia" w:ascii="仿宋_GB2312" w:hAnsi="仿宋_GB2312" w:eastAsia="仿宋_GB2312" w:cs="仿宋_GB2312"/>
          <w:color w:val="auto"/>
          <w:sz w:val="32"/>
          <w:szCs w:val="32"/>
          <w:lang w:val="en-US" w:eastAsia="zh-CN"/>
        </w:rPr>
        <w:t>每个文件均标明名称、</w:t>
      </w:r>
      <w:r>
        <w:rPr>
          <w:rFonts w:hint="eastAsia" w:ascii="仿宋_GB2312" w:hAnsi="仿宋_GB2312" w:cs="仿宋_GB2312"/>
          <w:color w:val="auto"/>
          <w:sz w:val="32"/>
          <w:szCs w:val="32"/>
          <w:lang w:val="en-US" w:eastAsia="zh-CN"/>
        </w:rPr>
        <w:t>发布机构、</w:t>
      </w:r>
      <w:r>
        <w:rPr>
          <w:rFonts w:hint="eastAsia" w:ascii="仿宋_GB2312" w:hAnsi="仿宋_GB2312" w:eastAsia="仿宋_GB2312" w:cs="仿宋_GB2312"/>
          <w:color w:val="auto"/>
          <w:sz w:val="32"/>
          <w:szCs w:val="32"/>
          <w:lang w:val="en-US" w:eastAsia="zh-CN"/>
        </w:rPr>
        <w:t>发布日期、</w:t>
      </w:r>
      <w:r>
        <w:rPr>
          <w:rFonts w:hint="eastAsia" w:ascii="仿宋_GB2312" w:hAnsi="仿宋_GB2312" w:cs="仿宋_GB2312"/>
          <w:color w:val="auto"/>
          <w:sz w:val="32"/>
          <w:szCs w:val="32"/>
          <w:lang w:val="en-US" w:eastAsia="zh-CN"/>
        </w:rPr>
        <w:t>效力状态</w:t>
      </w:r>
      <w:r>
        <w:rPr>
          <w:rFonts w:hint="eastAsia" w:ascii="仿宋_GB2312" w:hAnsi="仿宋_GB2312" w:eastAsia="仿宋_GB2312" w:cs="仿宋_GB2312"/>
          <w:color w:val="auto"/>
          <w:sz w:val="32"/>
          <w:szCs w:val="32"/>
          <w:lang w:val="en-US" w:eastAsia="zh-CN"/>
        </w:rPr>
        <w:t>，</w:t>
      </w:r>
      <w:r>
        <w:rPr>
          <w:rFonts w:hint="eastAsia" w:ascii="仿宋_GB2312" w:hAnsi="仿宋_GB2312" w:cs="仿宋_GB2312"/>
          <w:color w:val="auto"/>
          <w:sz w:val="32"/>
          <w:szCs w:val="32"/>
          <w:lang w:val="en-US" w:eastAsia="zh-CN"/>
        </w:rPr>
        <w:t>平台设立了文件查询入口，方便</w:t>
      </w:r>
      <w:r>
        <w:rPr>
          <w:rFonts w:hint="eastAsia" w:ascii="仿宋_GB2312" w:hAnsi="仿宋_GB2312" w:eastAsia="仿宋_GB2312" w:cs="仿宋_GB2312"/>
          <w:color w:val="auto"/>
          <w:sz w:val="32"/>
          <w:szCs w:val="32"/>
          <w:lang w:val="en-US" w:eastAsia="zh-CN"/>
        </w:rPr>
        <w:t>群众</w:t>
      </w:r>
      <w:r>
        <w:rPr>
          <w:rFonts w:hint="eastAsia" w:ascii="仿宋_GB2312" w:hAnsi="仿宋_GB2312" w:cs="仿宋_GB2312"/>
          <w:color w:val="auto"/>
          <w:sz w:val="32"/>
          <w:szCs w:val="32"/>
          <w:lang w:val="en-US" w:eastAsia="zh-CN"/>
        </w:rPr>
        <w:t>查询</w:t>
      </w:r>
      <w:r>
        <w:rPr>
          <w:rFonts w:hint="eastAsia" w:ascii="仿宋_GB2312" w:hAnsi="仿宋_GB2312" w:eastAsia="仿宋_GB2312" w:cs="仿宋_GB2312"/>
          <w:color w:val="auto"/>
          <w:sz w:val="32"/>
          <w:szCs w:val="32"/>
          <w:lang w:val="en-US" w:eastAsia="zh-CN"/>
        </w:rPr>
        <w:t>。</w:t>
      </w:r>
    </w:p>
    <w:p>
      <w:pPr>
        <w:numPr>
          <w:ilvl w:val="0"/>
          <w:numId w:val="0"/>
        </w:numPr>
        <w:ind w:firstLine="672" w:firstLineChars="200"/>
        <w:rPr>
          <w:rFonts w:hint="default" w:ascii="仿宋_GB2312" w:hAnsi="仿宋_GB2312" w:eastAsia="仿宋_GB2312" w:cs="仿宋_GB2312"/>
          <w:color w:val="auto"/>
          <w:sz w:val="32"/>
          <w:szCs w:val="32"/>
          <w:lang w:val="en-US" w:eastAsia="zh-CN"/>
        </w:rPr>
      </w:pPr>
      <w:r>
        <w:rPr>
          <w:rFonts w:hint="eastAsia" w:ascii="仿宋_GB2312" w:hAnsi="仿宋_GB2312" w:cs="仿宋_GB2312"/>
          <w:color w:val="auto"/>
          <w:sz w:val="32"/>
          <w:szCs w:val="32"/>
          <w:lang w:val="en-US" w:eastAsia="zh-CN"/>
        </w:rPr>
        <w:t>三是</w:t>
      </w:r>
      <w:r>
        <w:rPr>
          <w:rFonts w:hint="eastAsia" w:ascii="仿宋_GB2312" w:hAnsi="仿宋_GB2312" w:eastAsia="仿宋_GB2312" w:cs="仿宋_GB2312"/>
          <w:color w:val="auto"/>
          <w:sz w:val="32"/>
          <w:szCs w:val="32"/>
          <w:lang w:val="en-US" w:eastAsia="zh-CN"/>
        </w:rPr>
        <w:t>规范性文件管理情况，实现了规范性文件</w:t>
      </w:r>
      <w:r>
        <w:rPr>
          <w:rFonts w:hint="eastAsia" w:ascii="仿宋_GB2312" w:hAnsi="仿宋_GB2312" w:cs="仿宋_GB2312"/>
          <w:color w:val="auto"/>
          <w:sz w:val="32"/>
          <w:szCs w:val="32"/>
          <w:lang w:val="en-US" w:eastAsia="zh-CN"/>
        </w:rPr>
        <w:t>有效性</w:t>
      </w:r>
      <w:r>
        <w:rPr>
          <w:rFonts w:hint="eastAsia" w:ascii="仿宋_GB2312" w:hAnsi="仿宋_GB2312" w:eastAsia="仿宋_GB2312" w:cs="仿宋_GB2312"/>
          <w:color w:val="auto"/>
          <w:sz w:val="32"/>
          <w:szCs w:val="32"/>
          <w:lang w:val="en-US" w:eastAsia="zh-CN"/>
        </w:rPr>
        <w:t>标准，文件有效性一目了然，提供文件的WORD版和PDF版下载，方便群众下载。及时清理全县规范性文件，公开清理结果。</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72"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公开平台建设情况</w:t>
      </w:r>
    </w:p>
    <w:p>
      <w:pPr>
        <w:numPr>
          <w:ilvl w:val="0"/>
          <w:numId w:val="0"/>
        </w:numPr>
        <w:ind w:firstLine="672"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一是推进政府网站优质发展。</w:t>
      </w:r>
      <w:r>
        <w:rPr>
          <w:rFonts w:hint="eastAsia" w:ascii="仿宋_GB2312" w:hAnsi="仿宋_GB2312" w:eastAsia="仿宋_GB2312" w:cs="仿宋_GB2312"/>
          <w:color w:val="auto"/>
          <w:sz w:val="32"/>
          <w:szCs w:val="32"/>
          <w:lang w:val="en-US" w:eastAsia="zh-CN"/>
        </w:rPr>
        <w:t>商河县人民政府门户网站是全县政务公开“主阵地”和“窗口”，开设“政府信息公开”专栏，栏目实行动态调整机制，覆盖政府行政行为的各个方面</w:t>
      </w:r>
      <w:r>
        <w:rPr>
          <w:rFonts w:hint="eastAsia" w:ascii="仿宋_GB2312" w:hAnsi="仿宋_GB2312" w:cs="仿宋_GB2312"/>
          <w:color w:val="auto"/>
          <w:sz w:val="32"/>
          <w:szCs w:val="32"/>
          <w:lang w:val="en-US" w:eastAsia="zh-CN"/>
        </w:rPr>
        <w:t>。</w:t>
      </w:r>
    </w:p>
    <w:p>
      <w:pPr>
        <w:numPr>
          <w:ilvl w:val="0"/>
          <w:numId w:val="0"/>
        </w:numPr>
        <w:ind w:firstLine="672" w:firstLineChars="200"/>
        <w:rPr>
          <w:rFonts w:hint="eastAsia" w:ascii="仿宋_GB2312" w:hAnsi="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二是推进政务新媒体融合发展。</w:t>
      </w:r>
      <w:r>
        <w:rPr>
          <w:rFonts w:hint="eastAsia" w:ascii="仿宋_GB2312" w:hAnsi="仿宋_GB2312" w:cs="仿宋_GB2312"/>
          <w:b w:val="0"/>
          <w:bCs w:val="0"/>
          <w:color w:val="auto"/>
          <w:sz w:val="32"/>
          <w:szCs w:val="32"/>
          <w:lang w:val="en-US" w:eastAsia="zh-CN"/>
        </w:rPr>
        <w:t>建立“政务新媒体矩阵”专题，</w:t>
      </w:r>
      <w:r>
        <w:rPr>
          <w:rFonts w:hint="eastAsia" w:ascii="仿宋_GB2312" w:hAnsi="仿宋_GB2312" w:eastAsia="仿宋_GB2312" w:cs="仿宋_GB2312"/>
          <w:color w:val="auto"/>
          <w:sz w:val="32"/>
          <w:szCs w:val="32"/>
          <w:lang w:val="en-US" w:eastAsia="zh-CN"/>
        </w:rPr>
        <w:t>及时发布群众反映强烈的重点、难点、热点信息</w:t>
      </w:r>
      <w:r>
        <w:rPr>
          <w:rFonts w:hint="eastAsia" w:ascii="仿宋_GB2312" w:hAnsi="仿宋_GB2312" w:cs="仿宋_GB2312"/>
          <w:color w:val="auto"/>
          <w:sz w:val="32"/>
          <w:szCs w:val="32"/>
          <w:lang w:val="en-US" w:eastAsia="zh-CN"/>
        </w:rPr>
        <w:t>。其中微信公众号41个，抖音5个，微博4个。统筹</w:t>
      </w:r>
      <w:r>
        <w:rPr>
          <w:rFonts w:hint="eastAsia" w:ascii="仿宋_GB2312" w:hAnsi="仿宋_GB2312" w:eastAsia="仿宋_GB2312" w:cs="仿宋_GB2312"/>
          <w:color w:val="auto"/>
          <w:sz w:val="32"/>
          <w:szCs w:val="32"/>
          <w:lang w:val="en-US" w:eastAsia="zh-CN"/>
        </w:rPr>
        <w:t>推进政务新媒体与政府网站协同联动、融合发展，提升信息发布、解读回应、政民互动、办事服务整体水平</w:t>
      </w:r>
      <w:r>
        <w:rPr>
          <w:rFonts w:hint="eastAsia" w:ascii="仿宋_GB2312" w:hAnsi="仿宋_GB2312" w:cs="仿宋_GB2312"/>
          <w:color w:val="auto"/>
          <w:sz w:val="32"/>
          <w:szCs w:val="32"/>
          <w:lang w:val="en-US" w:eastAsia="zh-CN"/>
        </w:rPr>
        <w:t>。</w:t>
      </w:r>
    </w:p>
    <w:p>
      <w:pPr>
        <w:numPr>
          <w:ilvl w:val="0"/>
          <w:numId w:val="0"/>
        </w:numPr>
        <w:rPr>
          <w:rFonts w:hint="eastAsia" w:ascii="仿宋_GB2312" w:hAnsi="仿宋_GB2312" w:cs="仿宋_GB2312"/>
          <w:color w:val="auto"/>
          <w:sz w:val="32"/>
          <w:szCs w:val="32"/>
          <w:lang w:val="en-US" w:eastAsia="zh-CN"/>
        </w:rPr>
      </w:pPr>
      <w:r>
        <w:drawing>
          <wp:inline distT="0" distB="0" distL="114300" distR="114300">
            <wp:extent cx="5760085" cy="2879725"/>
            <wp:effectExtent l="0" t="0" r="12065" b="15875"/>
            <wp:docPr id="13" name="图片 2"/>
            <wp:cNvGraphicFramePr/>
            <a:graphic xmlns:a="http://schemas.openxmlformats.org/drawingml/2006/main">
              <a:graphicData uri="http://schemas.openxmlformats.org/drawingml/2006/picture">
                <pic:pic xmlns:pic="http://schemas.openxmlformats.org/drawingml/2006/picture">
                  <pic:nvPicPr>
                    <pic:cNvPr id="13" name="图片 2"/>
                    <pic:cNvPicPr/>
                  </pic:nvPicPr>
                  <pic:blipFill>
                    <a:blip r:embed="rId19"/>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cs="仿宋_GB2312"/>
          <w:b w:val="0"/>
          <w:bCs w:val="0"/>
          <w:color w:val="auto"/>
          <w:sz w:val="32"/>
          <w:szCs w:val="32"/>
          <w:lang w:val="en-US" w:eastAsia="zh-CN"/>
        </w:rPr>
        <w:t>三是</w:t>
      </w:r>
      <w:r>
        <w:rPr>
          <w:rFonts w:hint="eastAsia" w:ascii="仿宋_GB2312" w:hAnsi="仿宋_GB2312" w:eastAsia="仿宋_GB2312" w:cs="仿宋_GB2312"/>
          <w:b w:val="0"/>
          <w:bCs w:val="0"/>
          <w:color w:val="auto"/>
          <w:sz w:val="32"/>
          <w:szCs w:val="32"/>
          <w:lang w:val="en-US" w:eastAsia="zh-CN"/>
        </w:rPr>
        <w:t>推进政府公报有序发展。开</w:t>
      </w:r>
      <w:r>
        <w:rPr>
          <w:rFonts w:hint="eastAsia" w:ascii="仿宋_GB2312" w:hAnsi="仿宋_GB2312" w:eastAsia="仿宋_GB2312" w:cs="仿宋_GB2312"/>
          <w:color w:val="auto"/>
          <w:sz w:val="32"/>
          <w:szCs w:val="32"/>
          <w:lang w:val="en-US" w:eastAsia="zh-CN"/>
        </w:rPr>
        <w:t>设“县政府公报”专栏</w:t>
      </w:r>
      <w:r>
        <w:rPr>
          <w:rFonts w:hint="eastAsia" w:ascii="仿宋_GB2312" w:hAnsi="仿宋_GB2312" w:cs="仿宋_GB2312"/>
          <w:color w:val="auto"/>
          <w:sz w:val="32"/>
          <w:szCs w:val="32"/>
          <w:lang w:val="en-US" w:eastAsia="zh-CN"/>
        </w:rPr>
        <w:t>，2021年增加政府公开出版发行频次</w:t>
      </w:r>
      <w:r>
        <w:rPr>
          <w:rFonts w:ascii="仿宋_GB2312" w:hAnsi="宋体" w:eastAsia="仿宋_GB2312" w:cs="仿宋_GB2312"/>
          <w:i w:val="0"/>
          <w:iCs w:val="0"/>
          <w:caps w:val="0"/>
          <w:color w:val="333333"/>
          <w:spacing w:val="0"/>
          <w:sz w:val="31"/>
          <w:szCs w:val="31"/>
        </w:rPr>
        <w:t>，</w:t>
      </w:r>
      <w:r>
        <w:rPr>
          <w:rFonts w:hint="eastAsia" w:ascii="仿宋_GB2312" w:hAnsi="仿宋_GB2312" w:cs="仿宋_GB2312"/>
          <w:color w:val="auto"/>
          <w:sz w:val="32"/>
          <w:szCs w:val="32"/>
          <w:lang w:val="en-US" w:eastAsia="zh-CN"/>
        </w:rPr>
        <w:t>调整为每季度更新一次</w:t>
      </w:r>
      <w:r>
        <w:rPr>
          <w:rFonts w:hint="eastAsia" w:ascii="仿宋_GB2312" w:hAnsi="仿宋_GB2312" w:eastAsia="仿宋_GB2312" w:cs="仿宋_GB2312"/>
          <w:color w:val="auto"/>
          <w:sz w:val="32"/>
          <w:szCs w:val="32"/>
          <w:lang w:val="en-US" w:eastAsia="zh-CN"/>
        </w:rPr>
        <w:t>，统一刊登本级政府主动公开文件</w:t>
      </w:r>
      <w:r>
        <w:rPr>
          <w:rFonts w:hint="eastAsia" w:ascii="仿宋_GB2312" w:hAnsi="仿宋_GB2312" w:cs="仿宋_GB2312"/>
          <w:color w:val="auto"/>
          <w:sz w:val="32"/>
          <w:szCs w:val="32"/>
          <w:lang w:val="en-US" w:eastAsia="zh-CN"/>
        </w:rPr>
        <w:t>。</w:t>
      </w:r>
      <w:r>
        <w:rPr>
          <w:rFonts w:hint="eastAsia" w:ascii="仿宋_GB2312" w:hAnsi="仿宋_GB2312" w:eastAsia="仿宋_GB2312" w:cs="仿宋_GB2312"/>
          <w:b w:val="0"/>
          <w:bCs w:val="0"/>
          <w:color w:val="auto"/>
          <w:sz w:val="32"/>
          <w:szCs w:val="32"/>
          <w:lang w:val="en-US" w:eastAsia="zh-CN"/>
        </w:rPr>
        <w:t>提供政府公报查询服务，</w:t>
      </w:r>
      <w:r>
        <w:rPr>
          <w:rFonts w:hint="eastAsia" w:ascii="仿宋_GB2312" w:hAnsi="仿宋_GB2312" w:cs="仿宋_GB2312"/>
          <w:b w:val="0"/>
          <w:bCs w:val="0"/>
          <w:color w:val="auto"/>
          <w:sz w:val="32"/>
          <w:szCs w:val="32"/>
          <w:lang w:val="en-US" w:eastAsia="zh-CN"/>
        </w:rPr>
        <w:t>同时在微信公众号上展示，</w:t>
      </w:r>
      <w:r>
        <w:rPr>
          <w:rFonts w:hint="eastAsia" w:ascii="仿宋_GB2312" w:hAnsi="仿宋_GB2312" w:eastAsia="仿宋_GB2312" w:cs="仿宋_GB2312"/>
          <w:b w:val="0"/>
          <w:bCs w:val="0"/>
          <w:color w:val="auto"/>
          <w:sz w:val="32"/>
          <w:szCs w:val="32"/>
          <w:lang w:val="en-US" w:eastAsia="zh-CN"/>
        </w:rPr>
        <w:t>方便群众</w:t>
      </w:r>
      <w:r>
        <w:rPr>
          <w:rFonts w:hint="eastAsia" w:ascii="仿宋_GB2312" w:hAnsi="仿宋_GB2312" w:cs="仿宋_GB2312"/>
          <w:b w:val="0"/>
          <w:bCs w:val="0"/>
          <w:color w:val="auto"/>
          <w:sz w:val="32"/>
          <w:szCs w:val="32"/>
          <w:lang w:val="en-US" w:eastAsia="zh-CN"/>
        </w:rPr>
        <w:t>随时随地</w:t>
      </w:r>
      <w:r>
        <w:rPr>
          <w:rFonts w:hint="eastAsia" w:ascii="仿宋_GB2312" w:hAnsi="仿宋_GB2312" w:eastAsia="仿宋_GB2312" w:cs="仿宋_GB2312"/>
          <w:b w:val="0"/>
          <w:bCs w:val="0"/>
          <w:color w:val="auto"/>
          <w:sz w:val="32"/>
          <w:szCs w:val="32"/>
          <w:lang w:val="en-US" w:eastAsia="zh-CN"/>
        </w:rPr>
        <w:t>查询所需政策。</w:t>
      </w:r>
    </w:p>
    <w:p>
      <w:pPr>
        <w:keepNext w:val="0"/>
        <w:keepLines w:val="0"/>
        <w:pageBreakBefore w:val="0"/>
        <w:widowControl w:val="0"/>
        <w:numPr>
          <w:ilvl w:val="0"/>
          <w:numId w:val="0"/>
        </w:numPr>
        <w:tabs>
          <w:tab w:val="left" w:pos="445"/>
        </w:tabs>
        <w:kinsoku/>
        <w:wordWrap/>
        <w:overflowPunct/>
        <w:topLinePunct w:val="0"/>
        <w:autoSpaceDE/>
        <w:autoSpaceDN/>
        <w:bidi w:val="0"/>
        <w:adjustRightInd/>
        <w:snapToGrid/>
        <w:spacing w:line="240" w:lineRule="auto"/>
        <w:jc w:val="both"/>
        <w:textAlignment w:val="auto"/>
      </w:pPr>
      <w:r>
        <w:drawing>
          <wp:inline distT="0" distB="0" distL="114300" distR="114300">
            <wp:extent cx="5760085" cy="2879725"/>
            <wp:effectExtent l="0" t="0" r="12065" b="15875"/>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20"/>
                    <a:stretch>
                      <a:fillRect/>
                    </a:stretch>
                  </pic:blipFill>
                  <pic:spPr>
                    <a:xfrm>
                      <a:off x="0" y="0"/>
                      <a:ext cx="5760085" cy="2879725"/>
                    </a:xfrm>
                    <a:prstGeom prst="rect">
                      <a:avLst/>
                    </a:prstGeom>
                    <a:noFill/>
                    <a:ln>
                      <a:noFill/>
                    </a:ln>
                  </pic:spPr>
                </pic:pic>
              </a:graphicData>
            </a:graphic>
          </wp:inline>
        </w:drawing>
      </w:r>
    </w:p>
    <w:p>
      <w:pPr>
        <w:keepNext w:val="0"/>
        <w:keepLines w:val="0"/>
        <w:pageBreakBefore w:val="0"/>
        <w:widowControl w:val="0"/>
        <w:numPr>
          <w:ilvl w:val="0"/>
          <w:numId w:val="0"/>
        </w:numPr>
        <w:tabs>
          <w:tab w:val="left" w:pos="445"/>
        </w:tabs>
        <w:kinsoku/>
        <w:wordWrap/>
        <w:overflowPunct/>
        <w:topLinePunct w:val="0"/>
        <w:autoSpaceDE/>
        <w:autoSpaceDN/>
        <w:bidi w:val="0"/>
        <w:adjustRightInd/>
        <w:snapToGrid/>
        <w:spacing w:line="240" w:lineRule="auto"/>
        <w:ind w:firstLine="672" w:firstLineChars="200"/>
        <w:jc w:val="both"/>
        <w:textAlignment w:val="auto"/>
        <w:rPr>
          <w:rFonts w:hint="default"/>
          <w:lang w:val="en-US" w:eastAsia="zh-CN"/>
        </w:rPr>
      </w:pPr>
      <w:r>
        <w:rPr>
          <w:rFonts w:hint="eastAsia"/>
          <w:lang w:val="en-US" w:eastAsia="zh-CN"/>
        </w:rPr>
        <w:t>四是建立政务公开专区。在商河县政务服务大厅明显位置设立政务公开专区。统一专区标识，配备电脑、打印机、</w:t>
      </w:r>
      <w:r>
        <w:rPr>
          <w:rFonts w:hint="eastAsia" w:ascii="仿宋_GB2312" w:hAnsi="仿宋_GB2312" w:eastAsia="仿宋_GB2312" w:cs="仿宋_GB2312"/>
          <w:sz w:val="32"/>
          <w:szCs w:val="32"/>
          <w:lang w:val="en-US" w:eastAsia="zh-CN"/>
        </w:rPr>
        <w:t>触摸一体机</w:t>
      </w:r>
      <w:r>
        <w:rPr>
          <w:rFonts w:hint="eastAsia"/>
          <w:lang w:val="en-US" w:eastAsia="zh-CN"/>
        </w:rPr>
        <w:t>等设备，</w:t>
      </w:r>
      <w:r>
        <w:rPr>
          <w:rFonts w:hint="eastAsia" w:ascii="仿宋_GB2312" w:hAnsi="仿宋_GB2312" w:eastAsia="仿宋_GB2312" w:cs="仿宋_GB2312"/>
          <w:sz w:val="32"/>
          <w:szCs w:val="32"/>
          <w:lang w:val="en-US" w:eastAsia="zh-CN"/>
        </w:rPr>
        <w:t>提供政府公报、政府信息公开条例、便民惠民服务手册等文件资料，</w:t>
      </w:r>
      <w:r>
        <w:rPr>
          <w:rFonts w:hint="eastAsia"/>
          <w:lang w:val="en-US" w:eastAsia="zh-CN"/>
        </w:rPr>
        <w:t>配备一名专职工作人员，</w:t>
      </w:r>
      <w:r>
        <w:rPr>
          <w:rFonts w:hint="eastAsia" w:ascii="仿宋_GB2312" w:hAnsi="仿宋_GB2312" w:eastAsia="仿宋_GB2312" w:cs="仿宋_GB2312"/>
          <w:sz w:val="32"/>
          <w:szCs w:val="32"/>
          <w:lang w:val="en-US" w:eastAsia="zh-CN"/>
        </w:rPr>
        <w:t>为群众提供优质高效的政务公开与政务服务体验</w:t>
      </w:r>
      <w:r>
        <w:rPr>
          <w:rFonts w:hint="eastAsia" w:ascii="仿宋_GB2312" w:hAnsi="仿宋_GB2312" w:cs="仿宋_GB2312"/>
          <w:sz w:val="32"/>
          <w:szCs w:val="32"/>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72" w:firstLineChars="200"/>
        <w:textAlignment w:val="auto"/>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监督保障情况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一是加大考核力度。将</w:t>
      </w:r>
      <w:r>
        <w:rPr>
          <w:rFonts w:hint="eastAsia" w:ascii="仿宋_GB2312" w:hAnsi="仿宋_GB2312" w:cs="仿宋_GB2312"/>
          <w:b w:val="0"/>
          <w:bCs w:val="0"/>
          <w:sz w:val="32"/>
          <w:szCs w:val="32"/>
          <w:lang w:val="en-US" w:eastAsia="zh-CN"/>
        </w:rPr>
        <w:t>政务</w:t>
      </w:r>
      <w:r>
        <w:rPr>
          <w:rFonts w:hint="eastAsia" w:ascii="仿宋_GB2312" w:hAnsi="仿宋_GB2312" w:eastAsia="仿宋_GB2312" w:cs="仿宋_GB2312"/>
          <w:b w:val="0"/>
          <w:bCs w:val="0"/>
          <w:sz w:val="32"/>
          <w:szCs w:val="32"/>
          <w:lang w:val="en-US" w:eastAsia="zh-CN"/>
        </w:rPr>
        <w:t>公开工作纳入年度</w:t>
      </w:r>
      <w:r>
        <w:rPr>
          <w:rFonts w:hint="eastAsia" w:ascii="仿宋_GB2312" w:hAnsi="仿宋_GB2312" w:cs="仿宋_GB2312"/>
          <w:b w:val="0"/>
          <w:bCs w:val="0"/>
          <w:sz w:val="32"/>
          <w:szCs w:val="32"/>
          <w:lang w:val="en-US" w:eastAsia="zh-CN"/>
        </w:rPr>
        <w:t>高质量发展</w:t>
      </w:r>
      <w:r>
        <w:rPr>
          <w:rFonts w:hint="eastAsia" w:ascii="仿宋_GB2312" w:hAnsi="仿宋_GB2312" w:eastAsia="仿宋_GB2312" w:cs="仿宋_GB2312"/>
          <w:b w:val="0"/>
          <w:bCs w:val="0"/>
          <w:sz w:val="32"/>
          <w:szCs w:val="32"/>
          <w:lang w:val="en-US" w:eastAsia="zh-CN"/>
        </w:rPr>
        <w:t>考核体系，激发各部门工作积极性和主动性</w:t>
      </w:r>
      <w:r>
        <w:rPr>
          <w:rFonts w:hint="eastAsia" w:ascii="仿宋_GB2312" w:hAnsi="仿宋_GB2312" w:cs="仿宋_GB2312"/>
          <w:b w:val="0"/>
          <w:bCs w:val="0"/>
          <w:sz w:val="32"/>
          <w:szCs w:val="32"/>
          <w:lang w:val="en-US" w:eastAsia="zh-CN"/>
        </w:rPr>
        <w:t>，充分发挥考核促进工作作用。</w:t>
      </w:r>
      <w:r>
        <w:rPr>
          <w:rFonts w:hint="eastAsia" w:ascii="仿宋_GB2312" w:hAnsi="仿宋_GB2312" w:eastAsia="仿宋_GB2312" w:cs="仿宋_GB2312"/>
          <w:b w:val="0"/>
          <w:bCs w:val="0"/>
          <w:sz w:val="32"/>
          <w:szCs w:val="32"/>
          <w:lang w:val="en-US" w:eastAsia="zh-CN"/>
        </w:rPr>
        <w:t>同时强化日常监督，定期对各单位政务公开工作进行检查。2021年度共下发政务公开通报12期。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72" w:firstLineChars="200"/>
        <w:textAlignment w:val="auto"/>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t>二是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充分发挥社会评议功能。</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引入第三方评估机构，对全县各级各部门法定主动公开、重点领域公开、政策解读等政务公开工作情况进行评估。</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政府网站所有公开信息自觉接受社会群众和新闻媒体的监督，广泛听取社会各界的意见和建议，充分发挥社会评议作用，使信息公开工作真正落到实处</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72" w:firstLineChars="200"/>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三是责任追究结果情况。</w:t>
      </w:r>
      <w:r>
        <w:rPr>
          <w:rFonts w:hint="eastAsia" w:ascii="仿宋_GB2312" w:hAnsi="仿宋_GB2312" w:cs="仿宋_GB2312"/>
          <w:b w:val="0"/>
          <w:bCs w:val="0"/>
          <w:color w:val="000000" w:themeColor="text1"/>
          <w:sz w:val="32"/>
          <w:szCs w:val="32"/>
          <w:lang w:val="en-US" w:eastAsia="zh-CN"/>
          <w14:textFill>
            <w14:solidFill>
              <w14:schemeClr w14:val="tx1"/>
            </w14:solidFill>
          </w14:textFill>
        </w:rPr>
        <w:t>建立工作整改机制，对工作落实不力的单位下发整改通知，通过多种方式督促政府部门强化工作责任。</w:t>
      </w:r>
    </w:p>
    <w:p>
      <w:pPr>
        <w:numPr>
          <w:ilvl w:val="0"/>
          <w:numId w:val="0"/>
        </w:numPr>
        <w:ind w:firstLine="672" w:firstLineChars="200"/>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cs="仿宋_GB2312"/>
          <w:b w:val="0"/>
          <w:bCs w:val="0"/>
          <w:color w:val="000000" w:themeColor="text1"/>
          <w:sz w:val="32"/>
          <w:szCs w:val="32"/>
          <w:lang w:val="en-US" w:eastAsia="zh-CN"/>
          <w14:textFill>
            <w14:solidFill>
              <w14:schemeClr w14:val="tx1"/>
            </w14:solidFill>
          </w14:textFill>
        </w:rPr>
        <w:t>四是工作培训情况。</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根据2021年政务公开培训计划</w:t>
      </w:r>
      <w:r>
        <w:rPr>
          <w:rFonts w:hint="eastAsia" w:ascii="仿宋_GB2312" w:hAnsi="仿宋_GB2312" w:cs="仿宋_GB2312"/>
          <w:i w:val="0"/>
          <w:iCs w:val="0"/>
          <w:caps w:val="0"/>
          <w:color w:val="000000" w:themeColor="text1"/>
          <w:spacing w:val="0"/>
          <w:sz w:val="32"/>
          <w:szCs w:val="32"/>
          <w:lang w:val="en-US"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开展</w:t>
      </w:r>
      <w:r>
        <w:rPr>
          <w:rFonts w:hint="eastAsia" w:ascii="仿宋_GB2312" w:hAnsi="仿宋_GB2312" w:cs="仿宋_GB2312"/>
          <w:i w:val="0"/>
          <w:iCs w:val="0"/>
          <w:caps w:val="0"/>
          <w:color w:val="000000" w:themeColor="text1"/>
          <w:spacing w:val="0"/>
          <w:sz w:val="32"/>
          <w:szCs w:val="32"/>
          <w:lang w:val="en-US" w:eastAsia="zh-CN"/>
          <w14:textFill>
            <w14:solidFill>
              <w14:schemeClr w14:val="tx1"/>
            </w14:solidFill>
          </w14:textFill>
        </w:rPr>
        <w:t>了两</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次政务公开</w:t>
      </w:r>
      <w:r>
        <w:rPr>
          <w:rFonts w:hint="eastAsia" w:ascii="仿宋_GB2312" w:hAnsi="仿宋_GB2312" w:cs="仿宋_GB2312"/>
          <w:i w:val="0"/>
          <w:iCs w:val="0"/>
          <w:caps w:val="0"/>
          <w:color w:val="000000" w:themeColor="text1"/>
          <w:spacing w:val="0"/>
          <w:sz w:val="32"/>
          <w:szCs w:val="32"/>
          <w:lang w:val="en-US" w:eastAsia="zh-CN"/>
          <w14:textFill>
            <w14:solidFill>
              <w14:schemeClr w14:val="tx1"/>
            </w14:solidFill>
          </w14:textFill>
        </w:rPr>
        <w:t>专题</w:t>
      </w:r>
      <w:r>
        <w:rPr>
          <w:rFonts w:hint="eastAsia" w:ascii="仿宋_GB2312" w:hAnsi="仿宋_GB2312" w:eastAsia="仿宋_GB2312" w:cs="仿宋_GB2312"/>
          <w:i w:val="0"/>
          <w:iCs w:val="0"/>
          <w:caps w:val="0"/>
          <w:color w:val="000000" w:themeColor="text1"/>
          <w:spacing w:val="0"/>
          <w:sz w:val="32"/>
          <w:szCs w:val="32"/>
          <w:lang w:val="en-US" w:eastAsia="zh-CN"/>
          <w14:textFill>
            <w14:solidFill>
              <w14:schemeClr w14:val="tx1"/>
            </w14:solidFill>
          </w14:textFill>
        </w:rPr>
        <w:t>培训。</w:t>
      </w:r>
      <w:r>
        <w:rPr>
          <w:rFonts w:hint="eastAsia" w:ascii="仿宋_GB2312" w:hAnsi="仿宋_GB2312" w:cs="仿宋_GB2312"/>
          <w:i w:val="0"/>
          <w:iCs w:val="0"/>
          <w:caps w:val="0"/>
          <w:color w:val="000000" w:themeColor="text1"/>
          <w:spacing w:val="0"/>
          <w:sz w:val="32"/>
          <w:szCs w:val="32"/>
          <w:lang w:val="en-US" w:eastAsia="zh-CN"/>
          <w14:textFill>
            <w14:solidFill>
              <w14:schemeClr w14:val="tx1"/>
            </w14:solidFill>
          </w14:textFill>
        </w:rPr>
        <w:t>我县运用集中培训的方式进行学习交流，推进了全县政务公开工作水平整体提升。</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主动公开政府信息情况统计</w:t>
      </w:r>
    </w:p>
    <w:tbl>
      <w:tblPr>
        <w:tblStyle w:val="5"/>
        <w:tblW w:w="9016"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378"/>
        <w:gridCol w:w="1665"/>
        <w:gridCol w:w="1485"/>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5" w:hRule="atLeast"/>
          <w:tblCellSpacing w:w="0" w:type="dxa"/>
          <w:jc w:val="center"/>
        </w:trPr>
        <w:tc>
          <w:tcPr>
            <w:tcW w:w="9016" w:type="dxa"/>
            <w:gridSpan w:val="4"/>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第二十条  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信息内容</w:t>
            </w:r>
          </w:p>
        </w:tc>
        <w:tc>
          <w:tcPr>
            <w:tcW w:w="166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本年制发件数</w:t>
            </w:r>
          </w:p>
        </w:tc>
        <w:tc>
          <w:tcPr>
            <w:tcW w:w="148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color w:val="333333"/>
                <w:sz w:val="24"/>
                <w:szCs w:val="24"/>
              </w:rPr>
            </w:pPr>
            <w:r>
              <w:rPr>
                <w:rFonts w:hint="eastAsia" w:ascii="宋体" w:hAnsi="宋体" w:eastAsia="宋体" w:cs="宋体"/>
                <w:color w:val="333333"/>
                <w:sz w:val="19"/>
                <w:szCs w:val="19"/>
              </w:rPr>
              <w:t>本年废止件数</w:t>
            </w:r>
          </w:p>
        </w:tc>
        <w:tc>
          <w:tcPr>
            <w:tcW w:w="2488"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规章</w:t>
            </w:r>
          </w:p>
        </w:tc>
        <w:tc>
          <w:tcPr>
            <w:tcW w:w="166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24"/>
                <w:szCs w:val="24"/>
              </w:rPr>
              <w:t>0</w:t>
            </w:r>
          </w:p>
        </w:tc>
        <w:tc>
          <w:tcPr>
            <w:tcW w:w="148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宋体" w:hAnsi="宋体" w:eastAsia="宋体" w:cs="宋体"/>
                <w:color w:val="333333"/>
                <w:sz w:val="24"/>
                <w:szCs w:val="24"/>
              </w:rPr>
            </w:pPr>
            <w:r>
              <w:rPr>
                <w:rFonts w:hint="eastAsia" w:ascii="宋体" w:hAnsi="宋体" w:eastAsia="宋体" w:cs="宋体"/>
                <w:color w:val="333333"/>
                <w:sz w:val="24"/>
                <w:szCs w:val="24"/>
              </w:rPr>
              <w:t>0</w:t>
            </w:r>
          </w:p>
        </w:tc>
        <w:tc>
          <w:tcPr>
            <w:tcW w:w="2488"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24"/>
                <w:szCs w:val="24"/>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行政规范性文件</w:t>
            </w:r>
          </w:p>
        </w:tc>
        <w:tc>
          <w:tcPr>
            <w:tcW w:w="166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仿宋_GB2312" w:hAnsi="仿宋_GB2312" w:eastAsia="仿宋_GB2312" w:cs="仿宋_GB2312"/>
                <w:color w:val="333333"/>
                <w:sz w:val="24"/>
                <w:szCs w:val="24"/>
                <w:lang w:val="en-US" w:eastAsia="zh-CN"/>
              </w:rPr>
            </w:pPr>
            <w:r>
              <w:rPr>
                <w:rFonts w:hint="eastAsia" w:ascii="仿宋_GB2312" w:hAnsi="仿宋_GB2312" w:eastAsia="仿宋_GB2312" w:cs="仿宋_GB2312"/>
                <w:color w:val="333333"/>
                <w:sz w:val="24"/>
                <w:szCs w:val="24"/>
                <w:lang w:val="en-US" w:eastAsia="zh-CN"/>
              </w:rPr>
              <w:t>1</w:t>
            </w:r>
          </w:p>
        </w:tc>
        <w:tc>
          <w:tcPr>
            <w:tcW w:w="148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仿宋_GB2312" w:hAnsi="仿宋_GB2312" w:eastAsia="仿宋_GB2312" w:cs="仿宋_GB2312"/>
                <w:color w:val="333333"/>
                <w:sz w:val="24"/>
                <w:szCs w:val="24"/>
              </w:rPr>
            </w:pPr>
            <w:r>
              <w:rPr>
                <w:rFonts w:hint="eastAsia" w:ascii="仿宋_GB2312" w:hAnsi="仿宋_GB2312" w:eastAsia="仿宋_GB2312" w:cs="仿宋_GB2312"/>
                <w:color w:val="333333"/>
                <w:sz w:val="24"/>
                <w:szCs w:val="24"/>
              </w:rPr>
              <w:t>0</w:t>
            </w:r>
          </w:p>
        </w:tc>
        <w:tc>
          <w:tcPr>
            <w:tcW w:w="2488"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仿宋_GB2312" w:hAnsi="仿宋_GB2312" w:eastAsia="仿宋_GB2312" w:cs="仿宋_GB2312"/>
                <w:color w:val="333333"/>
                <w:sz w:val="24"/>
                <w:szCs w:val="24"/>
                <w:lang w:val="en-US" w:eastAsia="zh-CN"/>
              </w:rPr>
            </w:pPr>
            <w:r>
              <w:rPr>
                <w:rFonts w:hint="eastAsia" w:ascii="仿宋_GB2312" w:hAnsi="仿宋_GB2312" w:eastAsia="仿宋_GB2312" w:cs="仿宋_GB2312"/>
                <w:color w:val="333333"/>
                <w:sz w:val="24"/>
                <w:szCs w:val="24"/>
                <w:lang w:val="en-US" w:eastAsia="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blCellSpacing w:w="0" w:type="dxa"/>
          <w:jc w:val="center"/>
        </w:trPr>
        <w:tc>
          <w:tcPr>
            <w:tcW w:w="9016" w:type="dxa"/>
            <w:gridSpan w:val="4"/>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第二十条  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0"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信息内容</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5" w:hRule="atLeast"/>
          <w:tblCellSpacing w:w="0" w:type="dxa"/>
          <w:jc w:val="center"/>
        </w:trPr>
        <w:tc>
          <w:tcPr>
            <w:tcW w:w="3378" w:type="dxa"/>
            <w:tcBorders>
              <w:top w:val="single" w:color="auto" w:sz="4"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行政许可</w:t>
            </w:r>
          </w:p>
        </w:tc>
        <w:tc>
          <w:tcPr>
            <w:tcW w:w="5638" w:type="dxa"/>
            <w:gridSpan w:val="3"/>
            <w:tcBorders>
              <w:top w:val="single" w:color="auto" w:sz="4" w:space="0"/>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eastAsia="宋体"/>
                <w:color w:val="333333"/>
                <w:sz w:val="24"/>
                <w:szCs w:val="24"/>
                <w:lang w:val="en-US" w:eastAsia="zh-CN"/>
              </w:rPr>
            </w:pPr>
            <w:r>
              <w:rPr>
                <w:rFonts w:hint="eastAsia" w:ascii="仿宋_GB2312" w:hAnsi="仿宋_GB2312" w:eastAsia="仿宋_GB2312" w:cs="仿宋_GB2312"/>
                <w:color w:val="333333"/>
                <w:sz w:val="24"/>
                <w:szCs w:val="24"/>
                <w:lang w:val="en-US" w:eastAsia="zh-CN"/>
              </w:rPr>
              <w:t>1</w:t>
            </w:r>
            <w:r>
              <w:rPr>
                <w:rFonts w:hint="eastAsia" w:ascii="仿宋_GB2312" w:hAnsi="仿宋_GB2312" w:cs="仿宋_GB2312"/>
                <w:color w:val="333333"/>
                <w:sz w:val="24"/>
                <w:szCs w:val="24"/>
                <w:lang w:val="en-US" w:eastAsia="zh-CN"/>
              </w:rPr>
              <w:t>0693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5" w:hRule="atLeast"/>
          <w:tblCellSpacing w:w="0" w:type="dxa"/>
          <w:jc w:val="center"/>
        </w:trPr>
        <w:tc>
          <w:tcPr>
            <w:tcW w:w="9016" w:type="dxa"/>
            <w:gridSpan w:val="4"/>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第二十条  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0"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信息内容</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行政处罚</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仿宋_GB2312" w:hAnsi="仿宋_GB2312" w:eastAsia="仿宋_GB2312" w:cs="仿宋_GB2312"/>
                <w:color w:val="333333"/>
                <w:sz w:val="24"/>
                <w:szCs w:val="24"/>
                <w:lang w:val="en-US" w:eastAsia="zh-CN"/>
              </w:rPr>
            </w:pPr>
            <w:r>
              <w:rPr>
                <w:rFonts w:hint="eastAsia" w:ascii="仿宋_GB2312" w:hAnsi="仿宋_GB2312" w:eastAsia="仿宋_GB2312" w:cs="仿宋_GB2312"/>
                <w:color w:val="333333"/>
                <w:sz w:val="24"/>
                <w:szCs w:val="24"/>
                <w:lang w:val="en-US" w:eastAsia="zh-CN"/>
              </w:rPr>
              <w:t>2017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行政强制</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ascii="仿宋_GB2312" w:hAnsi="仿宋_GB2312" w:eastAsia="仿宋_GB2312" w:cs="仿宋_GB2312"/>
                <w:color w:val="333333"/>
                <w:sz w:val="24"/>
                <w:szCs w:val="24"/>
                <w:lang w:val="en-US" w:eastAsia="zh-CN"/>
              </w:rPr>
            </w:pPr>
            <w:r>
              <w:rPr>
                <w:rFonts w:hint="eastAsia" w:ascii="仿宋_GB2312" w:hAnsi="仿宋_GB2312" w:eastAsia="仿宋_GB2312" w:cs="仿宋_GB2312"/>
                <w:color w:val="333333"/>
                <w:sz w:val="24"/>
                <w:szCs w:val="24"/>
                <w:lang w:val="en-US" w:eastAsia="zh-CN"/>
              </w:rPr>
              <w:t>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blCellSpacing w:w="0" w:type="dxa"/>
          <w:jc w:val="center"/>
        </w:trPr>
        <w:tc>
          <w:tcPr>
            <w:tcW w:w="9016" w:type="dxa"/>
            <w:gridSpan w:val="4"/>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第二十条  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0"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信息内容</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5" w:hRule="atLeast"/>
          <w:tblCellSpacing w:w="0" w:type="dxa"/>
          <w:jc w:val="center"/>
        </w:trPr>
        <w:tc>
          <w:tcPr>
            <w:tcW w:w="3378"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color w:val="333333"/>
                <w:sz w:val="24"/>
                <w:szCs w:val="24"/>
              </w:rPr>
            </w:pPr>
            <w:r>
              <w:rPr>
                <w:rFonts w:hint="eastAsia" w:ascii="宋体" w:hAnsi="宋体" w:eastAsia="宋体" w:cs="宋体"/>
                <w:color w:val="333333"/>
                <w:sz w:val="19"/>
                <w:szCs w:val="19"/>
              </w:rPr>
              <w:t>行政事业性收费</w:t>
            </w:r>
          </w:p>
        </w:tc>
        <w:tc>
          <w:tcPr>
            <w:tcW w:w="5638" w:type="dxa"/>
            <w:gridSpan w:val="3"/>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default" w:eastAsia="仿宋_GB2312"/>
                <w:color w:val="333333"/>
                <w:sz w:val="24"/>
                <w:szCs w:val="24"/>
                <w:lang w:val="en-US" w:eastAsia="zh-CN"/>
              </w:rPr>
            </w:pPr>
            <w:r>
              <w:rPr>
                <w:rFonts w:hint="eastAsia" w:ascii="仿宋_GB2312" w:hAnsi="仿宋_GB2312" w:eastAsia="仿宋_GB2312" w:cs="仿宋_GB2312"/>
                <w:color w:val="333333"/>
                <w:sz w:val="24"/>
                <w:szCs w:val="24"/>
                <w:lang w:val="en-US" w:eastAsia="zh-CN"/>
              </w:rPr>
              <w:t>10565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黑体" w:hAnsi="黑体" w:eastAsia="黑体" w:cs="黑体"/>
          <w:b w:val="0"/>
          <w:bCs w:val="0"/>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收到和处理政府信息公开申请情况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425"/>
        <w:gridCol w:w="15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rPr>
                <w:rFonts w:hint="eastAsia" w:ascii="楷体" w:hAnsi="楷体" w:eastAsia="楷体" w:cs="楷体"/>
                <w:kern w:val="0"/>
                <w:sz w:val="20"/>
                <w:szCs w:val="20"/>
              </w:rPr>
            </w:pPr>
            <w:r>
              <w:rPr>
                <w:rFonts w:hint="eastAsia" w:ascii="楷体" w:hAnsi="楷体" w:eastAsia="楷体" w:cs="楷体"/>
                <w:kern w:val="0"/>
                <w:sz w:val="20"/>
                <w:szCs w:val="20"/>
              </w:rPr>
              <w:t>（本列数据的勾稽关系为：第一项加第二项之和，</w:t>
            </w:r>
          </w:p>
          <w:p>
            <w:pPr>
              <w:widowControl/>
              <w:rPr>
                <w:rFonts w:hint="eastAsia" w:ascii="楷体" w:hAnsi="楷体" w:eastAsia="楷体" w:cs="楷体"/>
                <w:kern w:val="0"/>
                <w:sz w:val="20"/>
                <w:szCs w:val="20"/>
              </w:rPr>
            </w:pPr>
            <w:r>
              <w:rPr>
                <w:rFonts w:hint="eastAsia" w:ascii="楷体" w:hAnsi="楷体" w:eastAsia="楷体" w:cs="楷体"/>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rPr>
                <w:rFonts w:hint="eastAsia" w:ascii="楷体" w:hAnsi="楷体" w:eastAsia="楷体" w:cs="楷体"/>
                <w:kern w:val="0"/>
                <w:sz w:val="20"/>
                <w:szCs w:val="20"/>
              </w:rPr>
            </w:pPr>
          </w:p>
        </w:tc>
        <w:tc>
          <w:tcPr>
            <w:tcW w:w="850" w:type="dxa"/>
            <w:vMerge w:val="restart"/>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自然人</w:t>
            </w:r>
          </w:p>
        </w:tc>
        <w:tc>
          <w:tcPr>
            <w:tcW w:w="2808"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widowControl/>
              <w:rPr>
                <w:rFonts w:hint="eastAsia" w:ascii="楷体" w:hAnsi="楷体" w:eastAsia="楷体" w:cs="楷体"/>
                <w:kern w:val="0"/>
                <w:sz w:val="20"/>
                <w:szCs w:val="20"/>
              </w:rPr>
            </w:pPr>
          </w:p>
        </w:tc>
        <w:tc>
          <w:tcPr>
            <w:tcW w:w="850" w:type="dxa"/>
            <w:vMerge w:val="continue"/>
            <w:tcBorders>
              <w:top w:val="nil"/>
              <w:left w:val="nil"/>
              <w:bottom w:val="single" w:color="auto" w:sz="8" w:space="0"/>
              <w:right w:val="single" w:color="auto" w:sz="8" w:space="0"/>
            </w:tcBorders>
            <w:tcMar>
              <w:left w:w="108" w:type="dxa"/>
              <w:right w:w="108" w:type="dxa"/>
            </w:tcMar>
            <w:vAlign w:val="center"/>
          </w:tcPr>
          <w:p>
            <w:pPr>
              <w:jc w:val="center"/>
              <w:rPr>
                <w:rFonts w:ascii="宋体"/>
                <w:sz w:val="24"/>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商业企业</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科研机构</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社会公益组织</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法律服务机构</w:t>
            </w:r>
          </w:p>
        </w:tc>
        <w:tc>
          <w:tcPr>
            <w:tcW w:w="540"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楷体" w:hAnsi="楷体" w:eastAsia="楷体" w:cs="楷体"/>
                <w:kern w:val="0"/>
                <w:sz w:val="20"/>
                <w:szCs w:val="20"/>
              </w:rPr>
            </w:pPr>
            <w:r>
              <w:rPr>
                <w:rFonts w:hint="eastAsia" w:ascii="楷体" w:hAnsi="楷体" w:eastAsia="楷体" w:cs="楷体"/>
                <w:kern w:val="0"/>
                <w:sz w:val="20"/>
                <w:szCs w:val="20"/>
              </w:rPr>
              <w:t>其他</w:t>
            </w:r>
          </w:p>
        </w:tc>
        <w:tc>
          <w:tcPr>
            <w:tcW w:w="635"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rFonts w:hint="eastAsia" w:ascii="楷体" w:hAnsi="楷体" w:eastAsia="楷体" w:cs="楷体"/>
                <w:kern w:val="0"/>
                <w:sz w:val="20"/>
                <w:szCs w:val="20"/>
              </w:rPr>
            </w:pPr>
            <w:r>
              <w:rPr>
                <w:rFonts w:hint="eastAsia" w:ascii="楷体" w:hAnsi="楷体" w:eastAsia="楷体" w:cs="楷体"/>
                <w:kern w:val="0"/>
                <w:sz w:val="20"/>
                <w:szCs w:val="20"/>
              </w:rPr>
              <w:t>一、本年新收政府信息公开申请数量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ind w:firstLine="256" w:firstLineChars="100"/>
              <w:jc w:val="both"/>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63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63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tcMar>
              <w:left w:w="108" w:type="dxa"/>
              <w:right w:w="108" w:type="dxa"/>
            </w:tcMar>
            <w:vAlign w:val="center"/>
          </w:tcPr>
          <w:p>
            <w:pPr>
              <w:widowControl/>
              <w:rPr>
                <w:rFonts w:hint="eastAsia" w:ascii="楷体" w:hAnsi="楷体" w:eastAsia="楷体" w:cs="楷体"/>
                <w:kern w:val="0"/>
                <w:sz w:val="20"/>
                <w:szCs w:val="20"/>
              </w:rPr>
            </w:pPr>
            <w:r>
              <w:rPr>
                <w:rFonts w:hint="eastAsia" w:ascii="楷体" w:hAnsi="楷体" w:eastAsia="楷体" w:cs="楷体"/>
                <w:kern w:val="0"/>
                <w:sz w:val="20"/>
                <w:szCs w:val="20"/>
              </w:rPr>
              <w:t>二、上年结转政府信息公开申请数量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5" w:type="dxa"/>
            <w:vMerge w:val="restart"/>
            <w:tcBorders>
              <w:top w:val="nil"/>
              <w:left w:val="single" w:color="auto" w:sz="4" w:space="0"/>
              <w:bottom w:val="single" w:color="auto" w:sz="8" w:space="0"/>
              <w:right w:val="single" w:color="auto" w:sz="8" w:space="0"/>
            </w:tcBorders>
            <w:tcMar>
              <w:left w:w="108" w:type="dxa"/>
              <w:right w:w="108" w:type="dxa"/>
            </w:tcMar>
            <w:vAlign w:val="center"/>
          </w:tcPr>
          <w:p>
            <w:pPr>
              <w:widowControl/>
            </w:pPr>
            <w:r>
              <w:rPr>
                <w:rFonts w:hint="eastAsia" w:ascii="宋体" w:hAnsi="宋体" w:cs="宋体"/>
                <w:kern w:val="0"/>
                <w:sz w:val="20"/>
                <w:szCs w:val="20"/>
              </w:rPr>
              <w:t>三、本年度办理结果</w:t>
            </w:r>
          </w:p>
        </w:tc>
        <w:tc>
          <w:tcPr>
            <w:tcW w:w="4353" w:type="dxa"/>
            <w:gridSpan w:val="2"/>
            <w:tcBorders>
              <w:top w:val="nil"/>
              <w:left w:val="nil"/>
              <w:bottom w:val="single" w:color="auto" w:sz="8" w:space="0"/>
              <w:right w:val="single" w:color="auto" w:sz="8" w:space="0"/>
            </w:tcBorders>
            <w:tcMar>
              <w:left w:w="108" w:type="dxa"/>
              <w:right w:w="108" w:type="dxa"/>
            </w:tcMar>
            <w:vAlign w:val="center"/>
          </w:tcPr>
          <w:p>
            <w:pPr>
              <w:widowControl/>
            </w:pPr>
            <w:r>
              <w:rPr>
                <w:rFonts w:hint="eastAsia"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29</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4353" w:type="dxa"/>
            <w:gridSpan w:val="2"/>
            <w:tcBorders>
              <w:top w:val="nil"/>
              <w:left w:val="nil"/>
              <w:bottom w:val="single" w:color="auto" w:sz="8" w:space="0"/>
              <w:right w:val="single" w:color="auto" w:sz="8" w:space="0"/>
            </w:tcBorders>
            <w:tcMar>
              <w:left w:w="108" w:type="dxa"/>
              <w:right w:w="108" w:type="dxa"/>
            </w:tcMar>
            <w:vAlign w:val="center"/>
          </w:tcPr>
          <w:p>
            <w:pPr>
              <w:widowControl/>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71" w:leftChars="-51"/>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属于国家秘密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其他法律行政法规禁止公开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危及“三安全一稳定”</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4.</w:t>
            </w:r>
            <w:r>
              <w:rPr>
                <w:rFonts w:hint="eastAsia" w:ascii="楷体" w:hAnsi="楷体" w:eastAsia="楷体" w:cs="楷体"/>
                <w:kern w:val="0"/>
                <w:sz w:val="20"/>
                <w:szCs w:val="20"/>
              </w:rPr>
              <w:t>保护第三方合法权益</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属于三类内部事务信息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6.</w:t>
            </w:r>
            <w:r>
              <w:rPr>
                <w:rFonts w:hint="eastAsia" w:ascii="楷体" w:hAnsi="楷体" w:eastAsia="楷体" w:cs="楷体"/>
                <w:kern w:val="0"/>
                <w:sz w:val="20"/>
                <w:szCs w:val="20"/>
              </w:rPr>
              <w:t>属于四类过程性信息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7.</w:t>
            </w:r>
            <w:r>
              <w:rPr>
                <w:rFonts w:hint="eastAsia" w:ascii="楷体" w:hAnsi="楷体" w:eastAsia="楷体" w:cs="楷体"/>
                <w:kern w:val="0"/>
                <w:sz w:val="20"/>
                <w:szCs w:val="20"/>
              </w:rPr>
              <w:t>属于行政执法案卷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8.</w:t>
            </w:r>
            <w:r>
              <w:rPr>
                <w:rFonts w:hint="eastAsia" w:ascii="楷体" w:hAnsi="楷体" w:eastAsia="楷体" w:cs="楷体"/>
                <w:kern w:val="0"/>
                <w:sz w:val="20"/>
                <w:szCs w:val="20"/>
              </w:rPr>
              <w:t>属于行政查询事项</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71" w:leftChars="-51"/>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本机关不掌握相关政府信息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71" w:leftChars="-51"/>
              <w:rPr>
                <w:rFonts w:ascii="宋体"/>
                <w:sz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没有现成信息需要另行制作</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4"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4" w:space="0"/>
              <w:right w:val="single" w:color="auto" w:sz="8" w:space="0"/>
            </w:tcBorders>
            <w:tcMar>
              <w:left w:w="108" w:type="dxa"/>
              <w:right w:w="108" w:type="dxa"/>
            </w:tcMar>
            <w:vAlign w:val="center"/>
          </w:tcPr>
          <w:p>
            <w:pPr>
              <w:spacing w:line="200" w:lineRule="exact"/>
              <w:ind w:left="-171" w:leftChars="-51"/>
              <w:rPr>
                <w:rFonts w:ascii="宋体"/>
                <w:sz w:val="24"/>
              </w:rPr>
            </w:pPr>
          </w:p>
        </w:tc>
        <w:tc>
          <w:tcPr>
            <w:tcW w:w="2835" w:type="dxa"/>
            <w:tcBorders>
              <w:top w:val="nil"/>
              <w:left w:val="nil"/>
              <w:bottom w:val="single" w:color="auto" w:sz="4" w:space="0"/>
              <w:right w:val="single" w:color="auto" w:sz="8"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补正后申请内容仍不明确</w:t>
            </w:r>
          </w:p>
        </w:tc>
        <w:tc>
          <w:tcPr>
            <w:tcW w:w="850"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single" w:color="auto" w:sz="4" w:space="0"/>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restart"/>
            <w:tcBorders>
              <w:top w:val="single" w:color="auto" w:sz="4" w:space="0"/>
              <w:left w:val="nil"/>
              <w:bottom w:val="single" w:color="auto" w:sz="8" w:space="0"/>
              <w:right w:val="single" w:color="auto" w:sz="8" w:space="0"/>
            </w:tcBorders>
            <w:tcMar>
              <w:left w:w="108" w:type="dxa"/>
              <w:right w:w="108" w:type="dxa"/>
            </w:tcMar>
            <w:vAlign w:val="center"/>
          </w:tcPr>
          <w:p>
            <w:pPr>
              <w:widowControl/>
              <w:spacing w:line="200" w:lineRule="exact"/>
              <w:ind w:left="-171" w:leftChars="-51"/>
            </w:pPr>
            <w:r>
              <w:rPr>
                <w:rFonts w:hint="eastAsia" w:ascii="楷体" w:hAnsi="楷体" w:eastAsia="楷体" w:cs="楷体"/>
                <w:kern w:val="0"/>
                <w:sz w:val="20"/>
                <w:szCs w:val="20"/>
              </w:rPr>
              <w:t>（五）不予处理</w:t>
            </w:r>
          </w:p>
        </w:tc>
        <w:tc>
          <w:tcPr>
            <w:tcW w:w="2835" w:type="dxa"/>
            <w:tcBorders>
              <w:top w:val="single" w:color="auto" w:sz="4" w:space="0"/>
              <w:left w:val="nil"/>
              <w:bottom w:val="single" w:color="auto" w:sz="8" w:space="0"/>
              <w:right w:val="single" w:color="auto" w:sz="4"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信访举报投诉类申请</w:t>
            </w:r>
          </w:p>
        </w:tc>
        <w:tc>
          <w:tcPr>
            <w:tcW w:w="850" w:type="dxa"/>
            <w:tcBorders>
              <w:top w:val="single" w:color="auto" w:sz="4" w:space="0"/>
              <w:left w:val="single" w:color="auto" w:sz="4" w:space="0"/>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single" w:color="auto" w:sz="4" w:space="0"/>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4" w:space="0"/>
            </w:tcBorders>
            <w:tcMar>
              <w:left w:w="108" w:type="dxa"/>
              <w:right w:w="108" w:type="dxa"/>
            </w:tcMar>
            <w:vAlign w:val="center"/>
          </w:tcPr>
          <w:p>
            <w:pPr>
              <w:widowControl/>
              <w:spacing w:line="200" w:lineRule="exact"/>
              <w:rPr>
                <w:rFonts w:ascii="楷体" w:hAnsi="楷体" w:eastAsia="楷体" w:cs="楷体"/>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重复申请</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4" w:space="0"/>
              <w:right w:val="single" w:color="auto" w:sz="4" w:space="0"/>
            </w:tcBorders>
            <w:tcMar>
              <w:left w:w="108" w:type="dxa"/>
              <w:right w:w="108" w:type="dxa"/>
            </w:tcMar>
            <w:vAlign w:val="center"/>
          </w:tcPr>
          <w:p>
            <w:pPr>
              <w:widowControl/>
              <w:spacing w:line="200" w:lineRule="exact"/>
            </w:pPr>
            <w:r>
              <w:rPr>
                <w:rFonts w:ascii="楷体" w:hAnsi="楷体" w:eastAsia="楷体" w:cs="楷体"/>
                <w:kern w:val="0"/>
                <w:sz w:val="20"/>
                <w:szCs w:val="20"/>
              </w:rPr>
              <w:t>3.</w:t>
            </w:r>
            <w:r>
              <w:rPr>
                <w:rFonts w:hint="eastAsia" w:ascii="楷体" w:hAnsi="楷体" w:eastAsia="楷体" w:cs="楷体"/>
                <w:kern w:val="0"/>
                <w:sz w:val="20"/>
                <w:szCs w:val="20"/>
              </w:rPr>
              <w:t>要求提供公开出版物</w:t>
            </w:r>
          </w:p>
        </w:tc>
        <w:tc>
          <w:tcPr>
            <w:tcW w:w="850" w:type="dxa"/>
            <w:tcBorders>
              <w:top w:val="nil"/>
              <w:left w:val="single" w:color="auto" w:sz="4" w:space="0"/>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4"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4" w:space="0"/>
            </w:tcBorders>
            <w:tcMar>
              <w:left w:w="108" w:type="dxa"/>
              <w:right w:w="108" w:type="dxa"/>
            </w:tcMar>
            <w:vAlign w:val="center"/>
          </w:tcPr>
          <w:p>
            <w:pPr>
              <w:spacing w:line="200" w:lineRule="exact"/>
              <w:rPr>
                <w:rFonts w:ascii="宋体"/>
                <w:sz w:val="24"/>
              </w:rPr>
            </w:pPr>
          </w:p>
        </w:tc>
        <w:tc>
          <w:tcPr>
            <w:tcW w:w="2835"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spacing w:line="200" w:lineRule="exact"/>
            </w:pPr>
            <w:r>
              <w:rPr>
                <w:rFonts w:ascii="楷体" w:hAnsi="楷体" w:eastAsia="楷体" w:cs="楷体"/>
                <w:kern w:val="0"/>
                <w:sz w:val="20"/>
                <w:szCs w:val="20"/>
              </w:rPr>
              <w:t>4.</w:t>
            </w:r>
            <w:r>
              <w:rPr>
                <w:rFonts w:hint="eastAsia" w:ascii="楷体" w:hAnsi="楷体" w:eastAsia="楷体" w:cs="楷体"/>
                <w:kern w:val="0"/>
                <w:sz w:val="20"/>
                <w:szCs w:val="20"/>
              </w:rPr>
              <w:t>无正当理由大量反复申请</w:t>
            </w:r>
          </w:p>
        </w:tc>
        <w:tc>
          <w:tcPr>
            <w:tcW w:w="850"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top w:val="nil"/>
              <w:left w:val="nil"/>
              <w:bottom w:val="single" w:color="auto" w:sz="8" w:space="0"/>
              <w:right w:val="single" w:color="auto" w:sz="4" w:space="0"/>
            </w:tcBorders>
            <w:tcMar>
              <w:left w:w="108" w:type="dxa"/>
              <w:right w:w="108" w:type="dxa"/>
            </w:tcMar>
            <w:vAlign w:val="center"/>
          </w:tcPr>
          <w:p>
            <w:pPr>
              <w:spacing w:line="200" w:lineRule="exact"/>
              <w:rPr>
                <w:rFonts w:ascii="宋体"/>
                <w:sz w:val="24"/>
              </w:rPr>
            </w:pPr>
          </w:p>
        </w:tc>
        <w:tc>
          <w:tcPr>
            <w:tcW w:w="2835"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spacing w:line="300" w:lineRule="exact"/>
              <w:rPr>
                <w:rFonts w:ascii="楷体" w:hAnsi="楷体" w:eastAsia="楷体" w:cs="楷体"/>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要求行政机关确认或重新</w:t>
            </w:r>
          </w:p>
          <w:p>
            <w:pPr>
              <w:widowControl/>
              <w:spacing w:line="300" w:lineRule="exact"/>
            </w:pPr>
            <w:r>
              <w:rPr>
                <w:rFonts w:hint="eastAsia" w:ascii="楷体" w:hAnsi="楷体" w:eastAsia="楷体" w:cs="楷体"/>
                <w:kern w:val="0"/>
                <w:sz w:val="20"/>
                <w:szCs w:val="20"/>
              </w:rPr>
              <w:t>出具已获取信息</w:t>
            </w:r>
          </w:p>
        </w:tc>
        <w:tc>
          <w:tcPr>
            <w:tcW w:w="850"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891"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restart"/>
            <w:tcBorders>
              <w:top w:val="nil"/>
              <w:left w:val="nil"/>
              <w:right w:val="single" w:color="auto" w:sz="8" w:space="0"/>
            </w:tcBorders>
            <w:tcMar>
              <w:left w:w="108" w:type="dxa"/>
              <w:right w:w="108" w:type="dxa"/>
            </w:tcMar>
            <w:vAlign w:val="center"/>
          </w:tcPr>
          <w:p>
            <w:pPr>
              <w:widowControl/>
              <w:spacing w:line="200" w:lineRule="exact"/>
            </w:pPr>
            <w:r>
              <w:rPr>
                <w:rFonts w:hint="eastAsia" w:ascii="楷体" w:hAnsi="楷体" w:eastAsia="楷体" w:cs="楷体"/>
                <w:kern w:val="0"/>
                <w:sz w:val="20"/>
                <w:szCs w:val="20"/>
              </w:rPr>
              <w:t>（六）其他处理</w:t>
            </w:r>
          </w:p>
        </w:tc>
        <w:tc>
          <w:tcPr>
            <w:tcW w:w="2835" w:type="dxa"/>
            <w:tcBorders>
              <w:top w:val="nil"/>
              <w:left w:val="nil"/>
              <w:bottom w:val="single" w:color="auto" w:sz="8" w:space="0"/>
              <w:right w:val="single" w:color="auto" w:sz="4" w:space="0"/>
            </w:tcBorders>
            <w:tcMar>
              <w:left w:w="108" w:type="dxa"/>
              <w:right w:w="108" w:type="dxa"/>
            </w:tcMar>
            <w:vAlign w:val="center"/>
          </w:tcPr>
          <w:p>
            <w:pPr>
              <w:widowControl/>
              <w:spacing w:line="300" w:lineRule="exact"/>
              <w:rPr>
                <w:rFonts w:hint="eastAsia" w:ascii="楷体" w:hAnsi="楷体" w:eastAsia="楷体" w:cs="楷体"/>
                <w:kern w:val="0"/>
                <w:sz w:val="20"/>
                <w:szCs w:val="20"/>
              </w:rPr>
            </w:pPr>
            <w:r>
              <w:rPr>
                <w:rFonts w:hint="eastAsia" w:ascii="楷体" w:hAnsi="楷体" w:eastAsia="楷体" w:cs="楷体"/>
                <w:kern w:val="0"/>
                <w:sz w:val="20"/>
                <w:szCs w:val="20"/>
                <w:lang w:val="en-US" w:eastAsia="zh-CN"/>
              </w:rPr>
              <w:t>1.申请人无正当理由逾期不补正、行政机关不再处理其政府信息公开申请</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15"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left w:val="nil"/>
              <w:right w:val="single" w:color="auto" w:sz="8" w:space="0"/>
            </w:tcBorders>
            <w:tcMar>
              <w:left w:w="108" w:type="dxa"/>
              <w:right w:w="108" w:type="dxa"/>
            </w:tcMar>
            <w:vAlign w:val="center"/>
          </w:tcPr>
          <w:p>
            <w:pPr>
              <w:widowControl/>
              <w:spacing w:line="200" w:lineRule="exact"/>
              <w:rPr>
                <w:rFonts w:hint="eastAsia" w:ascii="楷体" w:hAnsi="楷体" w:eastAsia="楷体" w:cs="楷体"/>
                <w:kern w:val="0"/>
                <w:sz w:val="20"/>
                <w:szCs w:val="20"/>
              </w:rPr>
            </w:pPr>
          </w:p>
        </w:tc>
        <w:tc>
          <w:tcPr>
            <w:tcW w:w="2835" w:type="dxa"/>
            <w:tcBorders>
              <w:top w:val="nil"/>
              <w:left w:val="nil"/>
              <w:bottom w:val="single" w:color="auto" w:sz="8" w:space="0"/>
              <w:right w:val="single" w:color="auto" w:sz="4" w:space="0"/>
            </w:tcBorders>
            <w:tcMar>
              <w:left w:w="108" w:type="dxa"/>
              <w:right w:w="108" w:type="dxa"/>
            </w:tcMar>
            <w:vAlign w:val="center"/>
          </w:tcPr>
          <w:p>
            <w:pPr>
              <w:widowControl/>
              <w:spacing w:line="300" w:lineRule="exact"/>
              <w:rPr>
                <w:rFonts w:hint="eastAsia" w:ascii="楷体" w:hAnsi="楷体" w:eastAsia="楷体" w:cs="楷体"/>
                <w:kern w:val="0"/>
                <w:sz w:val="20"/>
                <w:szCs w:val="20"/>
              </w:rPr>
            </w:pPr>
            <w:r>
              <w:rPr>
                <w:rFonts w:hint="eastAsia" w:ascii="楷体" w:hAnsi="楷体" w:eastAsia="楷体" w:cs="楷体"/>
                <w:kern w:val="0"/>
                <w:sz w:val="20"/>
                <w:szCs w:val="20"/>
                <w:lang w:val="en-US" w:eastAsia="zh-CN"/>
              </w:rPr>
              <w:t>2.申请人逾期未按首富通知要求缴纳费用、行政机关不再处理其政府信息公开申请</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2"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1518" w:type="dxa"/>
            <w:vMerge w:val="continue"/>
            <w:tcBorders>
              <w:left w:val="nil"/>
              <w:bottom w:val="single" w:color="auto" w:sz="8" w:space="0"/>
              <w:right w:val="single" w:color="auto" w:sz="8" w:space="0"/>
            </w:tcBorders>
            <w:tcMar>
              <w:left w:w="108" w:type="dxa"/>
              <w:right w:w="108" w:type="dxa"/>
            </w:tcMar>
            <w:vAlign w:val="center"/>
          </w:tcPr>
          <w:p>
            <w:pPr>
              <w:widowControl/>
              <w:spacing w:line="200" w:lineRule="exact"/>
              <w:rPr>
                <w:rFonts w:hint="eastAsia" w:ascii="楷体" w:hAnsi="楷体" w:eastAsia="楷体" w:cs="楷体"/>
                <w:kern w:val="0"/>
                <w:sz w:val="20"/>
                <w:szCs w:val="20"/>
              </w:rPr>
            </w:pPr>
          </w:p>
        </w:tc>
        <w:tc>
          <w:tcPr>
            <w:tcW w:w="2835" w:type="dxa"/>
            <w:tcBorders>
              <w:top w:val="nil"/>
              <w:left w:val="nil"/>
              <w:bottom w:val="single" w:color="auto" w:sz="8" w:space="0"/>
              <w:right w:val="single" w:color="auto" w:sz="4" w:space="0"/>
            </w:tcBorders>
            <w:tcMar>
              <w:left w:w="108" w:type="dxa"/>
              <w:right w:w="108" w:type="dxa"/>
            </w:tcMar>
            <w:vAlign w:val="center"/>
          </w:tcPr>
          <w:p>
            <w:pPr>
              <w:widowControl/>
              <w:spacing w:line="300" w:lineRule="exact"/>
              <w:rPr>
                <w:rFonts w:hint="eastAsia" w:ascii="楷体" w:hAnsi="楷体" w:eastAsia="楷体" w:cs="楷体"/>
                <w:kern w:val="0"/>
                <w:sz w:val="20"/>
                <w:szCs w:val="20"/>
              </w:rPr>
            </w:pPr>
            <w:r>
              <w:rPr>
                <w:rFonts w:hint="eastAsia" w:ascii="楷体" w:hAnsi="楷体" w:eastAsia="楷体" w:cs="楷体"/>
                <w:kern w:val="0"/>
                <w:sz w:val="20"/>
                <w:szCs w:val="20"/>
                <w:lang w:val="en-US" w:eastAsia="zh-CN"/>
              </w:rPr>
              <w:t>3.其他</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82" w:hRule="exact"/>
          <w:jc w:val="center"/>
        </w:trPr>
        <w:tc>
          <w:tcPr>
            <w:tcW w:w="425" w:type="dxa"/>
            <w:vMerge w:val="continue"/>
            <w:tcBorders>
              <w:top w:val="nil"/>
              <w:left w:val="single" w:color="auto" w:sz="4" w:space="0"/>
              <w:bottom w:val="single" w:color="auto" w:sz="8" w:space="0"/>
              <w:right w:val="single" w:color="auto" w:sz="8" w:space="0"/>
            </w:tcBorders>
            <w:tcMar>
              <w:left w:w="108" w:type="dxa"/>
              <w:right w:w="108" w:type="dxa"/>
            </w:tcMar>
            <w:vAlign w:val="center"/>
          </w:tcPr>
          <w:p>
            <w:pPr>
              <w:rPr>
                <w:rFonts w:ascii="宋体"/>
                <w:sz w:val="24"/>
              </w:rPr>
            </w:pPr>
          </w:p>
        </w:tc>
        <w:tc>
          <w:tcPr>
            <w:tcW w:w="4353" w:type="dxa"/>
            <w:gridSpan w:val="2"/>
            <w:tcBorders>
              <w:top w:val="nil"/>
              <w:left w:val="nil"/>
              <w:bottom w:val="single" w:color="auto" w:sz="8" w:space="0"/>
              <w:right w:val="single" w:color="auto" w:sz="4" w:space="0"/>
            </w:tcBorders>
            <w:tcMar>
              <w:left w:w="108" w:type="dxa"/>
              <w:right w:w="108" w:type="dxa"/>
            </w:tcMar>
            <w:vAlign w:val="center"/>
          </w:tcPr>
          <w:p>
            <w:pPr>
              <w:widowControl/>
              <w:spacing w:line="200" w:lineRule="exact"/>
            </w:pPr>
            <w:r>
              <w:rPr>
                <w:rFonts w:hint="eastAsia" w:ascii="楷体" w:hAnsi="楷体" w:eastAsia="楷体" w:cs="楷体"/>
                <w:kern w:val="0"/>
                <w:sz w:val="20"/>
                <w:szCs w:val="20"/>
              </w:rPr>
              <w:t>（七）总计</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62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default"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62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4" w:space="0"/>
              <w:bottom w:val="single" w:color="auto" w:sz="4" w:space="0"/>
              <w:right w:val="single" w:color="auto" w:sz="4" w:space="0"/>
            </w:tcBorders>
            <w:tcMar>
              <w:left w:w="108" w:type="dxa"/>
              <w:right w:w="108" w:type="dxa"/>
            </w:tcMar>
            <w:vAlign w:val="center"/>
          </w:tcPr>
          <w:p>
            <w:pPr>
              <w:widowControl/>
            </w:pPr>
            <w:r>
              <w:rPr>
                <w:rFonts w:hint="eastAsia" w:ascii="楷体" w:hAnsi="楷体" w:eastAsia="楷体" w:cs="楷体"/>
                <w:kern w:val="0"/>
                <w:sz w:val="20"/>
                <w:szCs w:val="20"/>
              </w:rPr>
              <w:t>四、结转下年度继续办理</w:t>
            </w:r>
          </w:p>
        </w:tc>
        <w:tc>
          <w:tcPr>
            <w:tcW w:w="850" w:type="dxa"/>
            <w:tcBorders>
              <w:top w:val="nil"/>
              <w:left w:val="single" w:color="auto" w:sz="4" w:space="0"/>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540"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w:t>
            </w:r>
          </w:p>
        </w:tc>
        <w:tc>
          <w:tcPr>
            <w:tcW w:w="635" w:type="dxa"/>
            <w:tcBorders>
              <w:top w:val="nil"/>
              <w:left w:val="nil"/>
              <w:bottom w:val="single" w:color="auto" w:sz="8" w:space="0"/>
              <w:right w:val="single" w:color="auto" w:sz="8" w:space="0"/>
            </w:tcBorders>
            <w:tcMar>
              <w:left w:w="108" w:type="dxa"/>
              <w:right w:w="108" w:type="dxa"/>
            </w:tcMar>
            <w:vAlign w:val="center"/>
          </w:tcPr>
          <w:p>
            <w:pPr>
              <w:widowControl/>
              <w:jc w:val="center"/>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b w:val="0"/>
          <w:bCs w:val="0"/>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政府信息公开行政复议、行政诉讼情况</w:t>
      </w:r>
    </w:p>
    <w:tbl>
      <w:tblPr>
        <w:tblStyle w:val="5"/>
        <w:tblW w:w="9075"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00"/>
        <w:gridCol w:w="600"/>
        <w:gridCol w:w="600"/>
        <w:gridCol w:w="600"/>
        <w:gridCol w:w="675"/>
        <w:gridCol w:w="555"/>
        <w:gridCol w:w="600"/>
        <w:gridCol w:w="600"/>
        <w:gridCol w:w="600"/>
        <w:gridCol w:w="615"/>
        <w:gridCol w:w="600"/>
        <w:gridCol w:w="600"/>
        <w:gridCol w:w="600"/>
        <w:gridCol w:w="600"/>
        <w:gridCol w:w="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jc w:val="center"/>
        </w:trPr>
        <w:tc>
          <w:tcPr>
            <w:tcW w:w="3075" w:type="dxa"/>
            <w:gridSpan w:val="5"/>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行政复议</w:t>
            </w:r>
          </w:p>
        </w:tc>
        <w:tc>
          <w:tcPr>
            <w:tcW w:w="6000" w:type="dxa"/>
            <w:gridSpan w:val="10"/>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行政诉讼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jc w:val="center"/>
        </w:trPr>
        <w:tc>
          <w:tcPr>
            <w:tcW w:w="600" w:type="dxa"/>
            <w:vMerge w:val="restart"/>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结果维持</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结果纠正</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其他结果</w:t>
            </w:r>
          </w:p>
        </w:tc>
        <w:tc>
          <w:tcPr>
            <w:tcW w:w="600"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尚未审结</w:t>
            </w:r>
          </w:p>
        </w:tc>
        <w:tc>
          <w:tcPr>
            <w:tcW w:w="675" w:type="dxa"/>
            <w:vMerge w:val="restart"/>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总计</w:t>
            </w:r>
          </w:p>
        </w:tc>
        <w:tc>
          <w:tcPr>
            <w:tcW w:w="2970" w:type="dxa"/>
            <w:gridSpan w:val="5"/>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未经复议直接起诉</w:t>
            </w:r>
          </w:p>
        </w:tc>
        <w:tc>
          <w:tcPr>
            <w:tcW w:w="3030" w:type="dxa"/>
            <w:gridSpan w:val="5"/>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复议后起诉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jc w:val="center"/>
        </w:trPr>
        <w:tc>
          <w:tcPr>
            <w:tcW w:w="600" w:type="dxa"/>
            <w:vMerge w:val="continue"/>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00"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675" w:type="dxa"/>
            <w:vMerge w:val="continue"/>
            <w:tcBorders>
              <w:top w:val="nil"/>
              <w:left w:val="nil"/>
              <w:bottom w:val="single" w:color="auto" w:sz="6" w:space="0"/>
              <w:right w:val="single" w:color="auto" w:sz="6" w:space="0"/>
            </w:tcBorders>
            <w:shd w:val="clear" w:color="auto" w:fill="auto"/>
            <w:tcMar>
              <w:left w:w="105" w:type="dxa"/>
              <w:right w:w="105" w:type="dxa"/>
            </w:tcMar>
            <w:vAlign w:val="center"/>
          </w:tcPr>
          <w:p>
            <w:pPr>
              <w:rPr>
                <w:rFonts w:hint="eastAsia" w:ascii="宋体"/>
                <w:sz w:val="24"/>
                <w:szCs w:val="24"/>
              </w:rPr>
            </w:pPr>
          </w:p>
        </w:tc>
        <w:tc>
          <w:tcPr>
            <w:tcW w:w="55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结果维持</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结果纠正</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其他结果</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尚未审结</w:t>
            </w:r>
          </w:p>
        </w:tc>
        <w:tc>
          <w:tcPr>
            <w:tcW w:w="615"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总计</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结果维持</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结果纠正</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其他结果</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尚未审结</w:t>
            </w:r>
          </w:p>
        </w:tc>
        <w:tc>
          <w:tcPr>
            <w:tcW w:w="630" w:type="dxa"/>
            <w:tcBorders>
              <w:top w:val="nil"/>
              <w:left w:val="nil"/>
              <w:bottom w:val="single" w:color="auto" w:sz="6" w:space="0"/>
              <w:right w:val="single" w:color="auto" w:sz="6" w:space="0"/>
            </w:tcBorders>
            <w:shd w:val="clear" w:color="auto" w:fill="auto"/>
            <w:tcMar>
              <w:left w:w="105" w:type="dxa"/>
              <w:right w:w="105" w:type="dxa"/>
            </w:tcMar>
            <w:vAlign w:val="center"/>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eastAsia" w:ascii="宋体" w:hAnsi="宋体" w:eastAsia="宋体" w:cs="宋体"/>
                <w:color w:val="333333"/>
                <w:sz w:val="19"/>
                <w:szCs w:val="19"/>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blCellSpacing w:w="0" w:type="dxa"/>
          <w:jc w:val="center"/>
        </w:trPr>
        <w:tc>
          <w:tcPr>
            <w:tcW w:w="600"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75"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555"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15"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0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c>
          <w:tcPr>
            <w:tcW w:w="630" w:type="dxa"/>
            <w:tcBorders>
              <w:top w:val="nil"/>
              <w:left w:val="nil"/>
              <w:bottom w:val="single" w:color="auto" w:sz="6" w:space="0"/>
              <w:right w:val="single" w:color="auto" w:sz="6" w:space="0"/>
            </w:tcBorders>
            <w:shd w:val="clear" w:color="auto" w:fill="auto"/>
            <w:tcMar>
              <w:left w:w="105" w:type="dxa"/>
              <w:right w:w="105" w:type="dxa"/>
            </w:tcMar>
            <w:vAlign w:val="top"/>
          </w:tcPr>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color w:val="333333"/>
                <w:sz w:val="24"/>
                <w:szCs w:val="24"/>
              </w:rPr>
            </w:pPr>
            <w:r>
              <w:rPr>
                <w:rFonts w:hint="default" w:ascii="Calibri" w:hAnsi="Calibri" w:cs="Calibri"/>
                <w:color w:val="333333"/>
                <w:sz w:val="19"/>
                <w:szCs w:val="19"/>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textAlignment w:val="auto"/>
        <w:rPr>
          <w:rFonts w:hint="default" w:ascii="黑体" w:hAnsi="黑体" w:eastAsia="黑体" w:cs="黑体"/>
          <w:b w:val="0"/>
          <w:bCs w:val="0"/>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0" w:firstLineChars="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存在的主要问题及改进情况</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580" w:lineRule="exact"/>
        <w:ind w:leftChars="200" w:right="0" w:rightChars="0"/>
        <w:jc w:val="both"/>
        <w:textAlignment w:val="auto"/>
        <w:rPr>
          <w:rFonts w:hint="default" w:ascii="楷体" w:hAnsi="楷体" w:eastAsia="楷体" w:cs="楷体"/>
          <w:b w:val="0"/>
          <w:bCs w:val="0"/>
          <w:kern w:val="2"/>
          <w:sz w:val="32"/>
          <w:szCs w:val="32"/>
          <w:lang w:val="en-US" w:eastAsia="zh-CN" w:bidi="ar-SA"/>
        </w:rPr>
      </w:pPr>
      <w:r>
        <w:rPr>
          <w:rFonts w:hint="eastAsia" w:ascii="楷体" w:hAnsi="楷体" w:eastAsia="楷体" w:cs="楷体"/>
          <w:b w:val="0"/>
          <w:bCs w:val="0"/>
          <w:kern w:val="2"/>
          <w:sz w:val="32"/>
          <w:szCs w:val="32"/>
          <w:lang w:val="en-US" w:eastAsia="zh-CN" w:bidi="ar-SA"/>
        </w:rPr>
        <w:t>（一）存在的主要问题</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580" w:lineRule="exact"/>
        <w:ind w:leftChars="200" w:right="0" w:rightChars="0"/>
        <w:jc w:val="both"/>
        <w:textAlignment w:val="auto"/>
        <w:rPr>
          <w:rFonts w:hint="eastAsia" w:ascii="仿宋_GB2312" w:hAnsi="仿宋_GB2312" w:eastAsia="仿宋_GB2312" w:cs="仿宋_GB2312"/>
          <w:kern w:val="2"/>
          <w:sz w:val="32"/>
          <w:szCs w:val="32"/>
          <w:lang w:bidi="ar-SA"/>
        </w:rPr>
      </w:pPr>
      <w:r>
        <w:rPr>
          <w:rFonts w:hint="eastAsia" w:ascii="仿宋_GB2312" w:hAnsi="仿宋_GB2312" w:eastAsia="仿宋_GB2312" w:cs="仿宋_GB2312"/>
          <w:kern w:val="2"/>
          <w:sz w:val="32"/>
          <w:szCs w:val="32"/>
          <w:lang w:val="en-US" w:eastAsia="zh-CN" w:bidi="ar-SA"/>
        </w:rPr>
        <w:t>一是对政务公开思想认识上存在误区。</w:t>
      </w:r>
      <w:r>
        <w:rPr>
          <w:rFonts w:hint="eastAsia" w:ascii="仿宋_GB2312" w:hAnsi="仿宋_GB2312" w:eastAsia="仿宋_GB2312" w:cs="仿宋_GB2312"/>
          <w:kern w:val="2"/>
          <w:sz w:val="32"/>
          <w:szCs w:val="32"/>
          <w:lang w:bidi="ar-SA"/>
        </w:rPr>
        <w:t>有些单位对政府信息</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580" w:lineRule="exact"/>
        <w:ind w:right="0" w:rightChars="0"/>
        <w:jc w:val="both"/>
        <w:textAlignment w:val="auto"/>
        <w:rPr>
          <w:rFonts w:hint="eastAsia" w:ascii="仿宋_GB2312" w:hAnsi="仿宋_GB2312" w:eastAsia="仿宋_GB2312" w:cs="仿宋_GB2312"/>
          <w:kern w:val="2"/>
          <w:sz w:val="32"/>
          <w:szCs w:val="32"/>
          <w:lang w:bidi="ar-SA"/>
        </w:rPr>
      </w:pPr>
      <w:r>
        <w:rPr>
          <w:rFonts w:hint="eastAsia" w:ascii="仿宋_GB2312" w:hAnsi="仿宋_GB2312" w:eastAsia="仿宋_GB2312" w:cs="仿宋_GB2312"/>
          <w:kern w:val="2"/>
          <w:sz w:val="32"/>
          <w:szCs w:val="32"/>
          <w:lang w:bidi="ar-SA"/>
        </w:rPr>
        <w:t>公开工作</w:t>
      </w:r>
      <w:r>
        <w:rPr>
          <w:rFonts w:hint="eastAsia" w:ascii="仿宋_GB2312" w:hAnsi="仿宋_GB2312" w:eastAsia="仿宋_GB2312" w:cs="仿宋_GB2312"/>
          <w:kern w:val="2"/>
          <w:sz w:val="32"/>
          <w:szCs w:val="32"/>
          <w:lang w:val="en-US" w:eastAsia="zh-CN" w:bidi="ar-SA"/>
        </w:rPr>
        <w:t>认识不足、</w:t>
      </w:r>
      <w:r>
        <w:rPr>
          <w:rFonts w:hint="eastAsia" w:ascii="仿宋_GB2312" w:hAnsi="仿宋_GB2312" w:eastAsia="仿宋_GB2312" w:cs="仿宋_GB2312"/>
          <w:kern w:val="2"/>
          <w:sz w:val="32"/>
          <w:szCs w:val="32"/>
          <w:lang w:bidi="ar-SA"/>
        </w:rPr>
        <w:t>不够重视，有些单位仍然对公开存在顾虑，导致</w:t>
      </w:r>
      <w:r>
        <w:rPr>
          <w:rFonts w:hint="eastAsia" w:ascii="仿宋_GB2312" w:hAnsi="仿宋_GB2312" w:eastAsia="仿宋_GB2312" w:cs="仿宋_GB2312"/>
          <w:kern w:val="2"/>
          <w:sz w:val="32"/>
          <w:szCs w:val="32"/>
          <w:lang w:val="en-US" w:eastAsia="zh-CN" w:bidi="ar-SA"/>
        </w:rPr>
        <w:t>一些栏目</w:t>
      </w:r>
      <w:r>
        <w:rPr>
          <w:rFonts w:hint="eastAsia" w:ascii="仿宋_GB2312" w:hAnsi="仿宋_GB2312" w:eastAsia="仿宋_GB2312" w:cs="仿宋_GB2312"/>
          <w:kern w:val="2"/>
          <w:sz w:val="32"/>
          <w:szCs w:val="32"/>
          <w:lang w:bidi="ar-SA"/>
        </w:rPr>
        <w:t>维护不及时。</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580" w:lineRule="exact"/>
        <w:ind w:leftChars="200" w:right="0" w:right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二是政策解读</w:t>
      </w:r>
      <w:r>
        <w:rPr>
          <w:rFonts w:hint="eastAsia" w:ascii="仿宋_GB2312" w:hAnsi="仿宋_GB2312" w:cs="仿宋_GB2312"/>
          <w:kern w:val="2"/>
          <w:sz w:val="32"/>
          <w:szCs w:val="32"/>
          <w:lang w:val="en-US" w:eastAsia="zh-CN" w:bidi="ar-SA"/>
        </w:rPr>
        <w:t>内容有待提高</w:t>
      </w:r>
      <w:r>
        <w:rPr>
          <w:rFonts w:hint="eastAsia" w:ascii="仿宋_GB2312" w:hAnsi="仿宋_GB2312" w:eastAsia="仿宋_GB2312" w:cs="仿宋_GB2312"/>
          <w:kern w:val="2"/>
          <w:sz w:val="32"/>
          <w:szCs w:val="32"/>
          <w:lang w:val="en-US" w:eastAsia="zh-CN" w:bidi="ar-SA"/>
        </w:rPr>
        <w:t>。从目前我县政策解读情况来看，</w:t>
      </w:r>
    </w:p>
    <w:p>
      <w:pPr>
        <w:pStyle w:val="4"/>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580" w:lineRule="exact"/>
        <w:ind w:right="0" w:rightChars="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解读方式</w:t>
      </w:r>
      <w:r>
        <w:rPr>
          <w:rFonts w:hint="eastAsia" w:ascii="仿宋_GB2312" w:hAnsi="仿宋_GB2312" w:cs="仿宋_GB2312"/>
          <w:kern w:val="2"/>
          <w:sz w:val="32"/>
          <w:szCs w:val="32"/>
          <w:lang w:val="en-US" w:eastAsia="zh-CN" w:bidi="ar-SA"/>
        </w:rPr>
        <w:t>能</w:t>
      </w:r>
      <w:r>
        <w:rPr>
          <w:rFonts w:hint="eastAsia" w:ascii="仿宋_GB2312" w:hAnsi="仿宋_GB2312" w:eastAsia="仿宋_GB2312" w:cs="仿宋_GB2312"/>
          <w:kern w:val="2"/>
          <w:sz w:val="32"/>
          <w:szCs w:val="32"/>
          <w:lang w:val="en-US" w:eastAsia="zh-CN" w:bidi="ar-SA"/>
        </w:rPr>
        <w:t>与时俱进、</w:t>
      </w:r>
      <w:r>
        <w:rPr>
          <w:rFonts w:hint="eastAsia" w:ascii="仿宋_GB2312" w:hAnsi="仿宋_GB2312" w:cs="仿宋_GB2312"/>
          <w:kern w:val="2"/>
          <w:sz w:val="32"/>
          <w:szCs w:val="32"/>
          <w:lang w:val="en-US" w:eastAsia="zh-CN" w:bidi="ar-SA"/>
        </w:rPr>
        <w:t>丰富多样，但解读材料与政策文件内容重复，有时候仅是压缩或摘抄政策文件</w:t>
      </w:r>
      <w:r>
        <w:rPr>
          <w:rFonts w:hint="eastAsia" w:ascii="仿宋_GB2312" w:hAnsi="仿宋_GB2312" w:eastAsia="仿宋_GB2312" w:cs="仿宋_GB2312"/>
          <w:kern w:val="2"/>
          <w:sz w:val="32"/>
          <w:szCs w:val="32"/>
          <w:lang w:val="en-US" w:eastAsia="zh-CN" w:bidi="ar-SA"/>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eastAsia" w:ascii="仿宋_GB2312" w:hAnsi="仿宋_GB2312" w:eastAsia="仿宋_GB2312" w:cs="仿宋_GB2312"/>
          <w:kern w:val="2"/>
          <w:sz w:val="32"/>
          <w:szCs w:val="32"/>
          <w:lang w:val="en-US" w:eastAsia="zh-CN" w:bidi="ar-SA"/>
        </w:rPr>
      </w:pPr>
      <w:r>
        <w:rPr>
          <w:rFonts w:hint="eastAsia" w:ascii="楷体" w:hAnsi="楷体" w:eastAsia="楷体" w:cs="楷体"/>
          <w:kern w:val="2"/>
          <w:sz w:val="32"/>
          <w:szCs w:val="32"/>
          <w:lang w:val="en-US" w:eastAsia="zh-CN" w:bidi="ar-SA"/>
        </w:rPr>
        <w:t>（二）下一步工作打算</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eastAsia" w:ascii="仿宋_GB2312" w:hAnsi="仿宋_GB2312" w:cs="仿宋_GB2312"/>
          <w:kern w:val="2"/>
          <w:sz w:val="32"/>
          <w:szCs w:val="32"/>
          <w:lang w:val="en-US" w:eastAsia="zh-CN" w:bidi="ar-SA"/>
        </w:rPr>
      </w:pPr>
      <w:r>
        <w:rPr>
          <w:rFonts w:hint="eastAsia" w:ascii="仿宋_GB2312" w:hAnsi="仿宋_GB2312" w:cs="仿宋_GB2312"/>
          <w:kern w:val="2"/>
          <w:sz w:val="32"/>
          <w:szCs w:val="32"/>
          <w:lang w:val="en-US" w:eastAsia="zh-CN" w:bidi="ar-SA"/>
        </w:rPr>
        <w:t>一是统一思想认识，做到“应公开尽公开”。政务公开实质</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right="0" w:rightChars="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仿宋_GB2312" w:cs="仿宋_GB2312"/>
          <w:kern w:val="2"/>
          <w:sz w:val="32"/>
          <w:szCs w:val="32"/>
          <w:lang w:val="en-US" w:eastAsia="zh-CN" w:bidi="ar-SA"/>
        </w:rPr>
        <w:t xml:space="preserve">是让政府权力受到监督。 </w:t>
      </w:r>
      <w:r>
        <w:rPr>
          <w:rFonts w:hint="eastAsia" w:ascii="仿宋_GB2312" w:hAnsi="仿宋_GB2312" w:eastAsia="仿宋_GB2312" w:cs="仿宋_GB2312"/>
          <w:i w:val="0"/>
          <w:iCs w:val="0"/>
          <w:caps w:val="0"/>
          <w:color w:val="auto"/>
          <w:spacing w:val="0"/>
          <w:sz w:val="32"/>
          <w:szCs w:val="32"/>
          <w:shd w:val="clear" w:color="auto" w:fill="FFFFFF"/>
          <w:lang w:val="en-US" w:eastAsia="zh-CN"/>
        </w:rPr>
        <w:t>要统一思想，不断提高认识，确保政务公开工作做到以公开为原则，以不公开为例外。</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right="0" w:rightChars="0" w:firstLine="672" w:firstLineChars="200"/>
        <w:jc w:val="both"/>
        <w:textAlignment w:val="auto"/>
        <w:rPr>
          <w:rFonts w:hint="eastAsia" w:ascii="仿宋_GB2312" w:hAnsi="仿宋_GB2312" w:eastAsia="仿宋_GB2312" w:cs="仿宋_GB2312"/>
          <w:i w:val="0"/>
          <w:iCs w:val="0"/>
          <w:caps w:val="0"/>
          <w:color w:val="auto"/>
          <w:spacing w:val="0"/>
          <w:sz w:val="32"/>
          <w:szCs w:val="32"/>
          <w:shd w:val="clear" w:color="auto" w:fill="FFFFFF"/>
          <w:lang w:val="en-US" w:eastAsia="zh-CN"/>
        </w:rPr>
      </w:pPr>
      <w:r>
        <w:rPr>
          <w:rFonts w:hint="eastAsia" w:ascii="仿宋_GB2312" w:hAnsi="宋体" w:cs="仿宋_GB2312"/>
          <w:kern w:val="2"/>
          <w:sz w:val="32"/>
          <w:szCs w:val="32"/>
          <w:lang w:val="en-US" w:eastAsia="zh-CN" w:bidi="ar"/>
        </w:rPr>
        <w:t>二是提高政策解读质量。严格按照文件的政策背景、决策依据、出台目的、重要举措等解读内容要素进行解读，做到解读要素齐全，解读内容详实。</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eastAsia" w:ascii="仿宋_GB2312" w:hAnsi="宋体" w:eastAsia="仿宋_GB2312" w:cs="仿宋_GB2312"/>
          <w:kern w:val="2"/>
          <w:sz w:val="32"/>
          <w:szCs w:val="32"/>
          <w:lang w:val="en-US" w:eastAsia="zh-CN" w:bidi="ar"/>
        </w:rPr>
      </w:pPr>
      <w:r>
        <w:rPr>
          <w:rFonts w:hint="eastAsia" w:ascii="仿宋_GB2312" w:hAnsi="仿宋_GB2312" w:cs="仿宋_GB2312"/>
          <w:i w:val="0"/>
          <w:iCs w:val="0"/>
          <w:caps w:val="0"/>
          <w:color w:val="auto"/>
          <w:spacing w:val="0"/>
          <w:sz w:val="32"/>
          <w:szCs w:val="32"/>
          <w:shd w:val="clear" w:color="auto" w:fill="FFFFFF"/>
          <w:lang w:val="en-US" w:eastAsia="zh-CN"/>
        </w:rPr>
        <w:t>三</w:t>
      </w:r>
      <w:r>
        <w:rPr>
          <w:rFonts w:hint="eastAsia" w:ascii="仿宋_GB2312" w:hAnsi="仿宋_GB2312" w:eastAsia="仿宋_GB2312" w:cs="仿宋_GB2312"/>
          <w:i w:val="0"/>
          <w:iCs w:val="0"/>
          <w:caps w:val="0"/>
          <w:color w:val="auto"/>
          <w:spacing w:val="0"/>
          <w:sz w:val="32"/>
          <w:szCs w:val="32"/>
          <w:shd w:val="clear" w:color="auto" w:fill="FFFFFF"/>
          <w:lang w:val="en-US" w:eastAsia="zh-CN"/>
        </w:rPr>
        <w:t>是</w:t>
      </w:r>
      <w:r>
        <w:rPr>
          <w:rFonts w:hint="eastAsia" w:ascii="仿宋_GB2312" w:hAnsi="仿宋_GB2312" w:eastAsia="仿宋_GB2312" w:cs="仿宋_GB2312"/>
          <w:kern w:val="2"/>
          <w:sz w:val="32"/>
          <w:szCs w:val="32"/>
          <w:lang w:val="en-US" w:eastAsia="zh-CN" w:bidi="ar"/>
        </w:rPr>
        <w:t>加大培训力度，提升工作人员的专业素养。</w:t>
      </w:r>
      <w:r>
        <w:rPr>
          <w:rFonts w:hint="eastAsia" w:ascii="仿宋_GB2312" w:hAnsi="宋体" w:eastAsia="仿宋_GB2312" w:cs="仿宋_GB2312"/>
          <w:kern w:val="2"/>
          <w:sz w:val="32"/>
          <w:szCs w:val="32"/>
          <w:lang w:val="en-US" w:eastAsia="zh-CN" w:bidi="ar"/>
        </w:rPr>
        <w:t>政务公开工</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right="0" w:rightChars="0"/>
        <w:jc w:val="both"/>
        <w:textAlignment w:val="auto"/>
        <w:rPr>
          <w:rFonts w:hint="default" w:ascii="仿宋_GB2312" w:hAnsi="宋体" w:eastAsia="仿宋_GB2312" w:cs="仿宋_GB2312"/>
          <w:kern w:val="2"/>
          <w:sz w:val="32"/>
          <w:szCs w:val="32"/>
          <w:lang w:val="en-US" w:eastAsia="zh-CN" w:bidi="ar"/>
        </w:rPr>
      </w:pPr>
      <w:r>
        <w:rPr>
          <w:rFonts w:hint="eastAsia" w:ascii="仿宋_GB2312" w:hAnsi="宋体" w:eastAsia="仿宋_GB2312" w:cs="仿宋_GB2312"/>
          <w:kern w:val="2"/>
          <w:sz w:val="32"/>
          <w:szCs w:val="32"/>
          <w:lang w:val="en-US" w:eastAsia="zh-CN" w:bidi="ar"/>
        </w:rPr>
        <w:t>作点多面广，专业性较强，需要每一位政务公开工作人员熟悉和掌握公开工作的职责、内容、流程，增强工作能力</w:t>
      </w:r>
      <w:r>
        <w:rPr>
          <w:rFonts w:hint="eastAsia" w:ascii="仿宋_GB2312" w:hAnsi="宋体" w:cs="仿宋_GB2312"/>
          <w:kern w:val="2"/>
          <w:sz w:val="32"/>
          <w:szCs w:val="32"/>
          <w:lang w:val="en-US" w:eastAsia="zh-CN" w:bidi="ar"/>
        </w:rPr>
        <w:t>及</w:t>
      </w:r>
      <w:r>
        <w:rPr>
          <w:rFonts w:hint="eastAsia" w:ascii="仿宋_GB2312" w:hAnsi="宋体" w:eastAsia="仿宋_GB2312" w:cs="仿宋_GB2312"/>
          <w:kern w:val="2"/>
          <w:sz w:val="32"/>
          <w:szCs w:val="32"/>
          <w:lang w:val="en-US" w:eastAsia="zh-CN" w:bidi="ar"/>
        </w:rPr>
        <w:t>水平，提高认识。为提升政务公开工作水平，需要不断加强有关政务公开的培训力度，形成培训机制，构建“纵向覆盖、横向融合”的政务公开培训体系，不断提高工作人员的专业素养。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72" w:firstLineChars="200"/>
        <w:textAlignment w:val="auto"/>
        <w:rPr>
          <w:rFonts w:hint="eastAsia" w:ascii="黑体" w:hAnsi="黑体" w:eastAsia="黑体" w:cs="黑体"/>
          <w:b w:val="0"/>
          <w:bCs w:val="0"/>
          <w:sz w:val="32"/>
          <w:szCs w:val="32"/>
          <w:lang w:val="en-US" w:eastAsia="zh-CN"/>
        </w:rPr>
      </w:pPr>
      <w:r>
        <w:rPr>
          <w:rFonts w:hint="eastAsia" w:ascii="仿宋_GB2312" w:hAnsi="仿宋_GB2312" w:cs="仿宋_GB2312"/>
          <w:sz w:val="32"/>
          <w:szCs w:val="32"/>
          <w:lang w:val="en-US" w:eastAsia="zh-CN"/>
        </w:rPr>
        <w:t>四是形成区域特色政务公开品牌。我</w:t>
      </w:r>
      <w:r>
        <w:rPr>
          <w:rFonts w:hint="eastAsia" w:ascii="仿宋_GB2312" w:hAnsi="仿宋_GB2312" w:eastAsia="仿宋_GB2312" w:cs="仿宋_GB2312"/>
          <w:kern w:val="0"/>
          <w:sz w:val="32"/>
          <w:szCs w:val="32"/>
          <w:lang w:val="en-US" w:eastAsia="zh-CN" w:bidi="ar-SA"/>
        </w:rPr>
        <w:t>县不断</w:t>
      </w:r>
      <w:r>
        <w:rPr>
          <w:rFonts w:hint="eastAsia" w:ascii="仿宋_GB2312" w:hAnsi="仿宋_GB2312" w:cs="仿宋_GB2312"/>
          <w:kern w:val="0"/>
          <w:sz w:val="32"/>
          <w:szCs w:val="32"/>
          <w:lang w:val="en-US" w:eastAsia="zh-CN" w:bidi="ar-SA"/>
        </w:rPr>
        <w:t>推进基层政务公开标准化规范化特色化，</w:t>
      </w:r>
      <w:r>
        <w:rPr>
          <w:rFonts w:hint="eastAsia" w:ascii="仿宋_GB2312" w:hAnsi="仿宋_GB2312" w:eastAsia="仿宋_GB2312" w:cs="仿宋_GB2312"/>
          <w:kern w:val="0"/>
          <w:sz w:val="32"/>
          <w:szCs w:val="32"/>
          <w:lang w:val="en-US" w:eastAsia="zh-CN" w:bidi="ar-SA"/>
        </w:rPr>
        <w:t>完善基层政务公开与村务公开协同发展机制，使政务公开与村务公开有效衔接，重点公开乡村振兴、村级财务、惠农政策、养老服务、社会救助等方面的内容。我县积极建设村务公开平台，</w:t>
      </w:r>
      <w:r>
        <w:rPr>
          <w:rFonts w:hint="eastAsia" w:ascii="仿宋_GB2312" w:hAnsi="仿宋_GB2312" w:cs="仿宋_GB2312"/>
          <w:kern w:val="0"/>
          <w:sz w:val="32"/>
          <w:szCs w:val="32"/>
          <w:lang w:val="en-US" w:eastAsia="zh-CN" w:bidi="ar-SA"/>
        </w:rPr>
        <w:t>不断</w:t>
      </w:r>
      <w:r>
        <w:rPr>
          <w:rFonts w:hint="eastAsia" w:ascii="仿宋_GB2312" w:hAnsi="仿宋_GB2312" w:eastAsia="仿宋_GB2312" w:cs="仿宋_GB2312"/>
          <w:kern w:val="0"/>
          <w:sz w:val="32"/>
          <w:szCs w:val="32"/>
          <w:lang w:val="en-US" w:eastAsia="zh-CN" w:bidi="ar-SA"/>
        </w:rPr>
        <w:t>加强对村务公开工作的监督，形成推进村务公开的合力，使村务公开平台真正成为群众监督、参与村务治理的重要阵地。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72"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六、其他需要报告的事项</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一是依据《政府信息公开信息处理费管理办法》收取信息处</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right="0" w:rightChars="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理费的情况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我县依申请提供政府信息，按照《国务院办公厅关于印发&lt;政府信息公开信息处理费管理办法&gt;的通知》（国办函〔2020〕109号）和《山东省人民政府办公厅关于做好政府信息公开信息处理费管理工作有关事项的通知》（鲁政办字〔2020〕179号）收取信息处理费。本年度我县依申请公开政府信息未收取任何费用。</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二是人大代表建议、政协提案办理结果公开情况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我县设置了建议提案专题，集中发布人大代表建议和政协委员提案办理结果情况。2021年共接办县十八届人大五次会议代表建议和县政协九届五次会议委员提案共计311件，其中人大建议60件，政协提案251件，人大建议、政协提案办结率、面复率、满意率均达100%。</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三是落实上级年度政务公开工作要点情况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第一，制定印发《商河县2021年政务公开工作要点》。</w:t>
      </w:r>
      <w:r>
        <w:rPr>
          <w:rFonts w:hint="default" w:ascii="仿宋_GB2312" w:hAnsi="仿宋_GB2312" w:cs="仿宋_GB2312"/>
          <w:sz w:val="32"/>
          <w:szCs w:val="32"/>
          <w:lang w:val="en-US" w:eastAsia="zh-CN"/>
        </w:rPr>
        <w:t>结合我县工作实际，根据省、市要求，制定我县政务公开工作要点，分解各项重点任务，明确各部门、各单位主体责任，确保各项工作有序开展。第二，积极推进重点工作。加强重点领域信息公开力度，按期答复依申请公开件，多次开展“政府开放日”活动，多方位积极主动回应社会关切，推动基层政务公开标准化规范化向村居延伸。第三</w:t>
      </w:r>
      <w:r>
        <w:rPr>
          <w:rFonts w:hint="eastAsia" w:ascii="仿宋_GB2312" w:hAnsi="仿宋_GB2312" w:cs="仿宋_GB2312"/>
          <w:sz w:val="32"/>
          <w:szCs w:val="32"/>
          <w:lang w:val="en-US" w:eastAsia="zh-CN"/>
        </w:rPr>
        <w:t>，</w:t>
      </w:r>
      <w:r>
        <w:rPr>
          <w:rFonts w:hint="default" w:ascii="仿宋_GB2312" w:hAnsi="仿宋_GB2312" w:cs="仿宋_GB2312"/>
          <w:sz w:val="32"/>
          <w:szCs w:val="32"/>
          <w:lang w:val="en-US" w:eastAsia="zh-CN"/>
        </w:rPr>
        <w:t>加</w:t>
      </w:r>
      <w:r>
        <w:rPr>
          <w:rFonts w:hint="eastAsia" w:ascii="仿宋_GB2312" w:hAnsi="仿宋_GB2312" w:cs="仿宋_GB2312"/>
          <w:sz w:val="32"/>
          <w:szCs w:val="32"/>
          <w:lang w:val="en-US" w:eastAsia="zh-CN"/>
        </w:rPr>
        <w:t>大抽查整改力度</w:t>
      </w:r>
      <w:r>
        <w:rPr>
          <w:rFonts w:hint="default" w:ascii="仿宋_GB2312" w:hAnsi="仿宋_GB2312" w:cs="仿宋_GB2312"/>
          <w:sz w:val="32"/>
          <w:szCs w:val="32"/>
          <w:lang w:val="en-US" w:eastAsia="zh-CN"/>
        </w:rPr>
        <w:t>。按照《商河县政务公开工作要点》要求，我县政务公开领导小组定期开展日常检查、暗访抽查，跟踪督促各部门、各单位及时自查整改，确保各项任务落实到位。</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snapToGrid/>
        <w:spacing w:before="0" w:beforeAutospacing="0" w:after="0" w:afterAutospacing="0" w:line="580" w:lineRule="exact"/>
        <w:ind w:leftChars="200" w:right="0" w:rightChars="0"/>
        <w:jc w:val="both"/>
        <w:textAlignment w:val="auto"/>
        <w:rPr>
          <w:rFonts w:hint="default"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四是政务公开工作创新情况</w:t>
      </w:r>
    </w:p>
    <w:p>
      <w:pPr>
        <w:numPr>
          <w:ilvl w:val="0"/>
          <w:numId w:val="0"/>
        </w:numPr>
        <w:ind w:firstLine="672" w:firstLineChars="200"/>
        <w:rPr>
          <w:rFonts w:hint="eastAsia" w:ascii="仿宋_GB2312" w:hAnsi="仿宋_GB2312" w:cs="仿宋_GB2312"/>
          <w:kern w:val="0"/>
          <w:sz w:val="32"/>
          <w:szCs w:val="32"/>
          <w:lang w:val="en-US" w:eastAsia="zh-CN" w:bidi="ar-SA"/>
        </w:rPr>
      </w:pPr>
      <w:r>
        <w:rPr>
          <w:rFonts w:hint="eastAsia" w:ascii="仿宋_GB2312" w:hAnsi="仿宋_GB2312" w:eastAsia="仿宋_GB2312" w:cs="仿宋_GB2312"/>
          <w:kern w:val="0"/>
          <w:sz w:val="32"/>
          <w:szCs w:val="32"/>
          <w:lang w:val="en-US" w:eastAsia="zh-CN" w:bidi="ar-SA"/>
        </w:rPr>
        <w:t>推进基层政务公开标准化规范化特色化。近年来，随着民主法治进程的不断推进，商河县高度重视村务公开，根据国务院办公厅</w:t>
      </w:r>
      <w:r>
        <w:rPr>
          <w:rFonts w:hint="eastAsia" w:ascii="仿宋_GB2312" w:hAnsi="仿宋_GB2312" w:cs="仿宋_GB2312"/>
          <w:kern w:val="0"/>
          <w:sz w:val="32"/>
          <w:szCs w:val="32"/>
          <w:lang w:val="en-US" w:eastAsia="zh-CN" w:bidi="ar-SA"/>
        </w:rPr>
        <w:t>《</w:t>
      </w:r>
      <w:r>
        <w:rPr>
          <w:rFonts w:hint="eastAsia" w:ascii="仿宋_GB2312" w:hAnsi="仿宋_GB2312" w:eastAsia="仿宋_GB2312" w:cs="仿宋_GB2312"/>
          <w:kern w:val="0"/>
          <w:sz w:val="32"/>
          <w:szCs w:val="32"/>
          <w:lang w:val="en-US" w:eastAsia="zh-CN" w:bidi="ar-SA"/>
        </w:rPr>
        <w:t>关于全面推进基层政务公开标准化规范化工作的指导意见</w:t>
      </w:r>
      <w:r>
        <w:rPr>
          <w:rFonts w:hint="eastAsia" w:ascii="仿宋_GB2312" w:hAnsi="仿宋_GB2312" w:cs="仿宋_GB2312"/>
          <w:kern w:val="0"/>
          <w:sz w:val="32"/>
          <w:szCs w:val="32"/>
          <w:lang w:val="en-US" w:eastAsia="zh-CN" w:bidi="ar-SA"/>
        </w:rPr>
        <w:t>》</w:t>
      </w:r>
      <w:r>
        <w:rPr>
          <w:rFonts w:hint="eastAsia" w:ascii="仿宋_GB2312" w:hAnsi="仿宋_GB2312" w:eastAsia="仿宋_GB2312" w:cs="仿宋_GB2312"/>
          <w:kern w:val="0"/>
          <w:sz w:val="32"/>
          <w:szCs w:val="32"/>
          <w:lang w:val="en-US" w:eastAsia="zh-CN" w:bidi="ar-SA"/>
        </w:rPr>
        <w:t>（国办发</w:t>
      </w:r>
      <w:r>
        <w:rPr>
          <w:rFonts w:hint="eastAsia" w:ascii="仿宋_GB2312" w:hAnsi="仿宋_GB2312" w:eastAsia="仿宋_GB2312" w:cs="仿宋_GB2312"/>
          <w:sz w:val="32"/>
          <w:szCs w:val="32"/>
          <w:lang w:val="en-US" w:eastAsia="zh-CN"/>
        </w:rPr>
        <w:t>〔20</w:t>
      </w:r>
      <w:r>
        <w:rPr>
          <w:rFonts w:hint="eastAsia" w:ascii="仿宋_GB2312" w:hAnsi="仿宋_GB2312" w:cs="仿宋_GB2312"/>
          <w:sz w:val="32"/>
          <w:szCs w:val="32"/>
          <w:lang w:val="en-US" w:eastAsia="zh-CN"/>
        </w:rPr>
        <w:t>19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kern w:val="0"/>
          <w:sz w:val="32"/>
          <w:szCs w:val="32"/>
          <w:lang w:val="en-US" w:eastAsia="zh-CN" w:bidi="ar-SA"/>
        </w:rPr>
        <w:t>54号）关于“推动基层政务公开标准化规范化向农村和社区延伸”</w:t>
      </w:r>
      <w:r>
        <w:rPr>
          <w:rFonts w:hint="eastAsia" w:ascii="仿宋_GB2312" w:hAnsi="仿宋_GB2312" w:cs="仿宋_GB2312"/>
          <w:kern w:val="0"/>
          <w:sz w:val="32"/>
          <w:szCs w:val="32"/>
          <w:lang w:val="en-US" w:eastAsia="zh-CN" w:bidi="ar-SA"/>
        </w:rPr>
        <w:t>的</w:t>
      </w:r>
      <w:r>
        <w:rPr>
          <w:rFonts w:hint="eastAsia" w:ascii="仿宋_GB2312" w:hAnsi="仿宋_GB2312" w:eastAsia="仿宋_GB2312" w:cs="仿宋_GB2312"/>
          <w:kern w:val="0"/>
          <w:sz w:val="32"/>
          <w:szCs w:val="32"/>
          <w:lang w:val="en-US" w:eastAsia="zh-CN" w:bidi="ar-SA"/>
        </w:rPr>
        <w:t>要求和省、市关于基层政务公开标准化规范化特色化工作的有关部署，商河县推进基层政务公开标准化规范化向村居延伸“最后一公里”，积极打通基层政务公开的“神经末梢”。商河县将贾庄镇孟庄铺村作为新时代数字赋能观察点先试先行，利用</w:t>
      </w:r>
      <w:r>
        <w:rPr>
          <w:rFonts w:hint="eastAsia" w:ascii="仿宋_GB2312" w:hAnsi="仿宋_GB2312" w:cs="仿宋_GB2312"/>
          <w:kern w:val="0"/>
          <w:sz w:val="32"/>
          <w:szCs w:val="32"/>
          <w:lang w:val="en-US" w:eastAsia="zh-CN" w:bidi="ar-SA"/>
        </w:rPr>
        <w:t>LED屏，</w:t>
      </w:r>
      <w:r>
        <w:rPr>
          <w:rFonts w:hint="eastAsia" w:ascii="仿宋_GB2312" w:hAnsi="仿宋_GB2312" w:eastAsia="仿宋_GB2312" w:cs="仿宋_GB2312"/>
          <w:kern w:val="0"/>
          <w:sz w:val="32"/>
          <w:szCs w:val="32"/>
          <w:lang w:val="en-US" w:eastAsia="zh-CN" w:bidi="ar-SA"/>
        </w:rPr>
        <w:t>实现村务公开方式从“贴上墙”到“挂上</w:t>
      </w:r>
      <w:r>
        <w:rPr>
          <w:rFonts w:hint="eastAsia" w:ascii="仿宋_GB2312" w:hAnsi="仿宋_GB2312" w:cs="仿宋_GB2312"/>
          <w:kern w:val="0"/>
          <w:sz w:val="32"/>
          <w:szCs w:val="32"/>
          <w:lang w:val="en-US" w:eastAsia="zh-CN" w:bidi="ar-SA"/>
        </w:rPr>
        <w:t>屏</w:t>
      </w:r>
      <w:r>
        <w:rPr>
          <w:rFonts w:hint="eastAsia" w:ascii="仿宋_GB2312" w:hAnsi="仿宋_GB2312" w:eastAsia="仿宋_GB2312" w:cs="仿宋_GB2312"/>
          <w:kern w:val="0"/>
          <w:sz w:val="32"/>
          <w:szCs w:val="32"/>
          <w:lang w:val="en-US" w:eastAsia="zh-CN" w:bidi="ar-SA"/>
        </w:rPr>
        <w:t>”、公开内容从“扁平单一”到“立体全面”；为积极回应村民关切和扩大村民参与渠道，将殷巷镇逯家村作为</w:t>
      </w:r>
      <w:r>
        <w:rPr>
          <w:rFonts w:hint="eastAsia" w:ascii="仿宋_GB2312" w:hAnsi="仿宋_GB2312" w:eastAsia="仿宋_GB2312" w:cs="仿宋_GB2312"/>
          <w:sz w:val="32"/>
          <w:szCs w:val="32"/>
          <w:lang w:val="en-US" w:eastAsia="zh-CN"/>
        </w:rPr>
        <w:t>“议政茶话会”（村务议政日）</w:t>
      </w:r>
      <w:r>
        <w:rPr>
          <w:rFonts w:hint="eastAsia" w:ascii="仿宋_GB2312" w:hAnsi="仿宋_GB2312" w:eastAsia="仿宋_GB2312" w:cs="仿宋_GB2312"/>
          <w:kern w:val="0"/>
          <w:sz w:val="32"/>
          <w:szCs w:val="32"/>
          <w:lang w:val="en-US" w:eastAsia="zh-CN" w:bidi="ar-SA"/>
        </w:rPr>
        <w:t>活动的试点，借助“阳光议事”，不断推进村级事务公开透明化，不断畅通基层政音民声通道，为实现党建引领乡村振兴提供坚强保证</w:t>
      </w:r>
      <w:r>
        <w:rPr>
          <w:rFonts w:hint="eastAsia" w:ascii="仿宋_GB2312" w:hAnsi="仿宋_GB2312" w:cs="仿宋_GB2312"/>
          <w:kern w:val="0"/>
          <w:sz w:val="32"/>
          <w:szCs w:val="32"/>
          <w:lang w:val="en-US" w:eastAsia="zh-CN" w:bidi="ar-SA"/>
        </w:rPr>
        <w:t>，</w:t>
      </w:r>
      <w:r>
        <w:rPr>
          <w:rFonts w:hint="eastAsia" w:ascii="仿宋_GB2312" w:hAnsi="仿宋_GB2312" w:eastAsia="仿宋_GB2312" w:cs="仿宋_GB2312"/>
          <w:kern w:val="0"/>
          <w:sz w:val="32"/>
          <w:szCs w:val="32"/>
          <w:lang w:val="en-US" w:eastAsia="zh-CN" w:bidi="ar-SA"/>
        </w:rPr>
        <w:t>形成特点鲜明、成效突出的政务公开区域</w:t>
      </w:r>
      <w:r>
        <w:rPr>
          <w:rFonts w:hint="eastAsia" w:ascii="仿宋_GB2312" w:hAnsi="仿宋_GB2312" w:cs="仿宋_GB2312"/>
          <w:kern w:val="0"/>
          <w:sz w:val="32"/>
          <w:szCs w:val="32"/>
          <w:lang w:val="en-US" w:eastAsia="zh-CN" w:bidi="ar-SA"/>
        </w:rPr>
        <w:t>品牌。</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72" w:firstLineChars="200"/>
        <w:jc w:val="both"/>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五</w:t>
      </w:r>
      <w:bookmarkStart w:id="0" w:name="_GoBack"/>
      <w:bookmarkEnd w:id="0"/>
      <w:r>
        <w:rPr>
          <w:rFonts w:hint="eastAsia" w:ascii="楷体" w:hAnsi="楷体" w:eastAsia="楷体" w:cs="楷体"/>
          <w:kern w:val="2"/>
          <w:sz w:val="32"/>
          <w:szCs w:val="32"/>
          <w:lang w:val="en-US" w:eastAsia="zh-CN" w:bidi="ar-SA"/>
        </w:rPr>
        <w:t>是有关数据统计说明</w:t>
      </w:r>
    </w:p>
    <w:p>
      <w:pPr>
        <w:numPr>
          <w:ilvl w:val="0"/>
          <w:numId w:val="0"/>
        </w:numPr>
        <w:ind w:firstLine="672" w:firstLineChars="200"/>
        <w:rPr>
          <w:rFonts w:hint="eastAsia" w:ascii="仿宋_GB2312" w:hAnsi="仿宋_GB2312" w:cs="仿宋_GB2312"/>
          <w:kern w:val="0"/>
          <w:sz w:val="32"/>
          <w:szCs w:val="32"/>
          <w:lang w:val="en-US" w:eastAsia="zh-CN" w:bidi="ar-SA"/>
        </w:rPr>
      </w:pPr>
      <w:r>
        <w:rPr>
          <w:rFonts w:hint="eastAsia" w:ascii="仿宋_GB2312" w:hAnsi="仿宋_GB2312" w:cs="仿宋_GB2312"/>
          <w:kern w:val="0"/>
          <w:sz w:val="32"/>
          <w:szCs w:val="32"/>
          <w:lang w:val="en-US" w:eastAsia="zh-CN" w:bidi="ar-SA"/>
        </w:rPr>
        <w:t>本年度报告中所列数据统计期限从2021年1月1日到12月31日止。</w:t>
      </w:r>
    </w:p>
    <w:p>
      <w:pPr>
        <w:numPr>
          <w:ilvl w:val="0"/>
          <w:numId w:val="0"/>
        </w:numPr>
        <w:ind w:firstLine="672" w:firstLineChars="200"/>
        <w:rPr>
          <w:rFonts w:hint="eastAsia" w:ascii="仿宋_GB2312" w:hAnsi="仿宋_GB2312" w:cs="仿宋_GB2312"/>
          <w:kern w:val="0"/>
          <w:sz w:val="32"/>
          <w:szCs w:val="32"/>
          <w:lang w:val="en-US" w:eastAsia="zh-CN" w:bidi="ar-SA"/>
        </w:rPr>
      </w:pPr>
    </w:p>
    <w:p>
      <w:pPr>
        <w:numPr>
          <w:ilvl w:val="0"/>
          <w:numId w:val="0"/>
        </w:numPr>
        <w:ind w:firstLine="672" w:firstLineChars="200"/>
        <w:rPr>
          <w:rFonts w:hint="eastAsia" w:ascii="仿宋_GB2312" w:hAnsi="仿宋_GB2312" w:cs="仿宋_GB2312"/>
          <w:kern w:val="0"/>
          <w:sz w:val="32"/>
          <w:szCs w:val="32"/>
          <w:lang w:val="en-US" w:eastAsia="zh-CN" w:bidi="ar-SA"/>
        </w:rPr>
      </w:pPr>
    </w:p>
    <w:p>
      <w:pPr>
        <w:numPr>
          <w:ilvl w:val="0"/>
          <w:numId w:val="0"/>
        </w:numPr>
        <w:ind w:firstLine="672" w:firstLineChars="200"/>
        <w:rPr>
          <w:rFonts w:hint="eastAsia" w:ascii="仿宋_GB2312" w:hAnsi="仿宋_GB2312" w:cs="仿宋_GB2312"/>
          <w:kern w:val="0"/>
          <w:sz w:val="32"/>
          <w:szCs w:val="32"/>
          <w:lang w:val="en-US" w:eastAsia="zh-CN" w:bidi="ar-SA"/>
        </w:rPr>
      </w:pPr>
    </w:p>
    <w:p>
      <w:pPr>
        <w:numPr>
          <w:ilvl w:val="0"/>
          <w:numId w:val="0"/>
        </w:numPr>
        <w:ind w:firstLine="672" w:firstLineChars="200"/>
        <w:rPr>
          <w:rFonts w:hint="eastAsia" w:ascii="仿宋_GB2312" w:hAnsi="仿宋_GB2312" w:cs="仿宋_GB2312"/>
          <w:kern w:val="0"/>
          <w:sz w:val="32"/>
          <w:szCs w:val="32"/>
          <w:lang w:val="en-US" w:eastAsia="zh-CN" w:bidi="ar-SA"/>
        </w:rPr>
      </w:pPr>
      <w:r>
        <w:rPr>
          <w:rFonts w:hint="eastAsia" w:ascii="仿宋_GB2312" w:hAnsi="仿宋_GB2312" w:cs="仿宋_GB2312"/>
          <w:kern w:val="0"/>
          <w:sz w:val="32"/>
          <w:szCs w:val="32"/>
          <w:lang w:val="en-US" w:eastAsia="zh-CN" w:bidi="ar-SA"/>
        </w:rPr>
        <w:t xml:space="preserve">                                 商河县人民政府</w:t>
      </w:r>
    </w:p>
    <w:p>
      <w:pPr>
        <w:numPr>
          <w:ilvl w:val="0"/>
          <w:numId w:val="0"/>
        </w:numPr>
        <w:ind w:firstLine="672" w:firstLineChars="200"/>
        <w:rPr>
          <w:rFonts w:hint="default" w:ascii="仿宋_GB2312" w:hAnsi="仿宋_GB2312" w:cs="仿宋_GB2312"/>
          <w:kern w:val="0"/>
          <w:sz w:val="32"/>
          <w:szCs w:val="32"/>
          <w:lang w:val="en-US" w:eastAsia="zh-CN" w:bidi="ar-SA"/>
        </w:rPr>
      </w:pPr>
      <w:r>
        <w:rPr>
          <w:rFonts w:hint="eastAsia" w:ascii="仿宋_GB2312" w:hAnsi="仿宋_GB2312" w:cs="仿宋_GB2312"/>
          <w:kern w:val="0"/>
          <w:sz w:val="32"/>
          <w:szCs w:val="32"/>
          <w:lang w:val="en-US" w:eastAsia="zh-CN" w:bidi="ar-SA"/>
        </w:rPr>
        <w:t xml:space="preserve">                                 2022年2月10日</w:t>
      </w:r>
    </w:p>
    <w:sectPr>
      <w:footerReference r:id="rId3" w:type="default"/>
      <w:footerReference r:id="rId4" w:type="even"/>
      <w:pgSz w:w="11906" w:h="16838"/>
      <w:pgMar w:top="1418" w:right="1134" w:bottom="1418" w:left="1361" w:header="851" w:footer="992" w:gutter="0"/>
      <w:cols w:space="425" w:num="1"/>
      <w:docGrid w:type="linesAndChars" w:linePitch="636" w:charSpace="32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文星标宋">
    <w:panose1 w:val="0201060900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Fonts w:hint="eastAsia"/>
        <w:sz w:val="24"/>
        <w:szCs w:val="24"/>
      </w:rPr>
    </w:pPr>
    <w:r>
      <w:rPr>
        <w:rStyle w:val="8"/>
        <w:rFonts w:hint="eastAsia"/>
        <w:sz w:val="24"/>
        <w:szCs w:val="24"/>
      </w:rPr>
      <w:t>—</w:t>
    </w:r>
    <w:r>
      <w:rPr>
        <w:rStyle w:val="8"/>
        <w:sz w:val="24"/>
        <w:szCs w:val="24"/>
      </w:rPr>
      <w:fldChar w:fldCharType="begin"/>
    </w:r>
    <w:r>
      <w:rPr>
        <w:rStyle w:val="8"/>
        <w:sz w:val="24"/>
        <w:szCs w:val="24"/>
      </w:rPr>
      <w:instrText xml:space="preserve">PAGE  </w:instrText>
    </w:r>
    <w:r>
      <w:rPr>
        <w:rStyle w:val="8"/>
        <w:sz w:val="24"/>
        <w:szCs w:val="24"/>
      </w:rPr>
      <w:fldChar w:fldCharType="separate"/>
    </w:r>
    <w:r>
      <w:rPr>
        <w:rStyle w:val="8"/>
        <w:sz w:val="24"/>
        <w:szCs w:val="24"/>
      </w:rPr>
      <w:t>1</w:t>
    </w:r>
    <w:r>
      <w:rPr>
        <w:rStyle w:val="8"/>
        <w:sz w:val="24"/>
        <w:szCs w:val="24"/>
      </w:rPr>
      <w:fldChar w:fldCharType="end"/>
    </w:r>
    <w:r>
      <w:rPr>
        <w:rStyle w:val="8"/>
        <w:rFonts w:hint="eastAsia"/>
        <w:sz w:val="24"/>
        <w:szCs w:val="24"/>
      </w:rPr>
      <w:t>—</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9ADB7"/>
    <w:multiLevelType w:val="singleLevel"/>
    <w:tmpl w:val="AC59ADB7"/>
    <w:lvl w:ilvl="0" w:tentative="0">
      <w:start w:val="2"/>
      <w:numFmt w:val="chineseCounting"/>
      <w:suff w:val="nothing"/>
      <w:lvlText w:val="%1、"/>
      <w:lvlJc w:val="left"/>
      <w:rPr>
        <w:rFonts w:hint="eastAsia"/>
      </w:rPr>
    </w:lvl>
  </w:abstractNum>
  <w:abstractNum w:abstractNumId="1">
    <w:nsid w:val="BB49109B"/>
    <w:multiLevelType w:val="singleLevel"/>
    <w:tmpl w:val="BB49109B"/>
    <w:lvl w:ilvl="0" w:tentative="0">
      <w:start w:val="2"/>
      <w:numFmt w:val="decimal"/>
      <w:suff w:val="nothing"/>
      <w:lvlText w:val="%1、"/>
      <w:lvlJc w:val="left"/>
    </w:lvl>
  </w:abstractNum>
  <w:abstractNum w:abstractNumId="2">
    <w:nsid w:val="D20D9DFC"/>
    <w:multiLevelType w:val="singleLevel"/>
    <w:tmpl w:val="D20D9DF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68"/>
  <w:drawingGridVerticalSpacing w:val="3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5NTRhMmQzMGJiNjhhYzJmNWIzMWY3NTI2MjNlNTMifQ=="/>
  </w:docVars>
  <w:rsids>
    <w:rsidRoot w:val="10A73466"/>
    <w:rsid w:val="00006E4D"/>
    <w:rsid w:val="00010E6F"/>
    <w:rsid w:val="000118AE"/>
    <w:rsid w:val="00023EE8"/>
    <w:rsid w:val="0002526E"/>
    <w:rsid w:val="0003445A"/>
    <w:rsid w:val="00061546"/>
    <w:rsid w:val="000720C8"/>
    <w:rsid w:val="000809CF"/>
    <w:rsid w:val="000A59BE"/>
    <w:rsid w:val="000D6ABD"/>
    <w:rsid w:val="00102A35"/>
    <w:rsid w:val="00143CF4"/>
    <w:rsid w:val="00144048"/>
    <w:rsid w:val="001B4C7C"/>
    <w:rsid w:val="00225111"/>
    <w:rsid w:val="002444D5"/>
    <w:rsid w:val="00255E56"/>
    <w:rsid w:val="00280428"/>
    <w:rsid w:val="002907A6"/>
    <w:rsid w:val="002C3EC9"/>
    <w:rsid w:val="002C5933"/>
    <w:rsid w:val="002F3BDE"/>
    <w:rsid w:val="00313B31"/>
    <w:rsid w:val="0035129C"/>
    <w:rsid w:val="003B5252"/>
    <w:rsid w:val="003B57B0"/>
    <w:rsid w:val="003D1AB6"/>
    <w:rsid w:val="003F26BB"/>
    <w:rsid w:val="00416A71"/>
    <w:rsid w:val="00433E2F"/>
    <w:rsid w:val="00444510"/>
    <w:rsid w:val="00451478"/>
    <w:rsid w:val="00462DFF"/>
    <w:rsid w:val="004666A0"/>
    <w:rsid w:val="004853B2"/>
    <w:rsid w:val="00496327"/>
    <w:rsid w:val="004B2D22"/>
    <w:rsid w:val="004C01C7"/>
    <w:rsid w:val="00510C8A"/>
    <w:rsid w:val="005221B6"/>
    <w:rsid w:val="0053208F"/>
    <w:rsid w:val="0053363A"/>
    <w:rsid w:val="005528F8"/>
    <w:rsid w:val="005734C9"/>
    <w:rsid w:val="00587F19"/>
    <w:rsid w:val="00595E86"/>
    <w:rsid w:val="005F6F32"/>
    <w:rsid w:val="006020E6"/>
    <w:rsid w:val="006055DF"/>
    <w:rsid w:val="00613945"/>
    <w:rsid w:val="00625E05"/>
    <w:rsid w:val="00630393"/>
    <w:rsid w:val="00661BD7"/>
    <w:rsid w:val="006633FF"/>
    <w:rsid w:val="00682D22"/>
    <w:rsid w:val="006A1616"/>
    <w:rsid w:val="006C2BED"/>
    <w:rsid w:val="006E215B"/>
    <w:rsid w:val="006E7577"/>
    <w:rsid w:val="006F4AA6"/>
    <w:rsid w:val="007A196D"/>
    <w:rsid w:val="007C048B"/>
    <w:rsid w:val="007D0F1C"/>
    <w:rsid w:val="00850030"/>
    <w:rsid w:val="0086030D"/>
    <w:rsid w:val="00877431"/>
    <w:rsid w:val="008A74CE"/>
    <w:rsid w:val="00937290"/>
    <w:rsid w:val="009942ED"/>
    <w:rsid w:val="009A69CD"/>
    <w:rsid w:val="009D3D3C"/>
    <w:rsid w:val="009E0C24"/>
    <w:rsid w:val="00A33BEA"/>
    <w:rsid w:val="00A47EB9"/>
    <w:rsid w:val="00A56631"/>
    <w:rsid w:val="00A717EA"/>
    <w:rsid w:val="00A94989"/>
    <w:rsid w:val="00AA0F89"/>
    <w:rsid w:val="00AB1078"/>
    <w:rsid w:val="00AD6B34"/>
    <w:rsid w:val="00B3177D"/>
    <w:rsid w:val="00B31D89"/>
    <w:rsid w:val="00B804E8"/>
    <w:rsid w:val="00BB6CE6"/>
    <w:rsid w:val="00C0031B"/>
    <w:rsid w:val="00C341AB"/>
    <w:rsid w:val="00C55698"/>
    <w:rsid w:val="00C668A5"/>
    <w:rsid w:val="00C73856"/>
    <w:rsid w:val="00CA77F7"/>
    <w:rsid w:val="00CB7876"/>
    <w:rsid w:val="00CF12D9"/>
    <w:rsid w:val="00D06423"/>
    <w:rsid w:val="00D46F3B"/>
    <w:rsid w:val="00D979AD"/>
    <w:rsid w:val="00DA09BF"/>
    <w:rsid w:val="00E2730D"/>
    <w:rsid w:val="00E3086C"/>
    <w:rsid w:val="00E31C92"/>
    <w:rsid w:val="00EB01CC"/>
    <w:rsid w:val="00F07C8B"/>
    <w:rsid w:val="00F21A75"/>
    <w:rsid w:val="00F82D18"/>
    <w:rsid w:val="00F85CDC"/>
    <w:rsid w:val="00FA1DB2"/>
    <w:rsid w:val="00FB4E91"/>
    <w:rsid w:val="00FE531C"/>
    <w:rsid w:val="00FF4E3F"/>
    <w:rsid w:val="00FF5073"/>
    <w:rsid w:val="00FF5A0F"/>
    <w:rsid w:val="04F419BC"/>
    <w:rsid w:val="05CE5649"/>
    <w:rsid w:val="05ED5453"/>
    <w:rsid w:val="0D616098"/>
    <w:rsid w:val="10A73466"/>
    <w:rsid w:val="12753A2E"/>
    <w:rsid w:val="152924A1"/>
    <w:rsid w:val="15615863"/>
    <w:rsid w:val="15CE63F3"/>
    <w:rsid w:val="15DF4519"/>
    <w:rsid w:val="1768590F"/>
    <w:rsid w:val="1AB66F99"/>
    <w:rsid w:val="1AD87250"/>
    <w:rsid w:val="1D1D70B9"/>
    <w:rsid w:val="1F291E28"/>
    <w:rsid w:val="2265586D"/>
    <w:rsid w:val="22804455"/>
    <w:rsid w:val="23F340FF"/>
    <w:rsid w:val="23F73FAA"/>
    <w:rsid w:val="27873B8F"/>
    <w:rsid w:val="2FFD1F8D"/>
    <w:rsid w:val="3801798E"/>
    <w:rsid w:val="3A045449"/>
    <w:rsid w:val="3D126F95"/>
    <w:rsid w:val="3D2576DE"/>
    <w:rsid w:val="3D8D2254"/>
    <w:rsid w:val="3F042F5F"/>
    <w:rsid w:val="41E8072C"/>
    <w:rsid w:val="42673CA0"/>
    <w:rsid w:val="44FD540D"/>
    <w:rsid w:val="455D48EB"/>
    <w:rsid w:val="47E83EE8"/>
    <w:rsid w:val="4A9D70A2"/>
    <w:rsid w:val="4B257098"/>
    <w:rsid w:val="4C9C4290"/>
    <w:rsid w:val="4E242A04"/>
    <w:rsid w:val="4EC26A90"/>
    <w:rsid w:val="504E169F"/>
    <w:rsid w:val="51932FAD"/>
    <w:rsid w:val="57B0791C"/>
    <w:rsid w:val="57C60C83"/>
    <w:rsid w:val="5D5977A1"/>
    <w:rsid w:val="63EB3073"/>
    <w:rsid w:val="682D61F5"/>
    <w:rsid w:val="69DA0D46"/>
    <w:rsid w:val="6A325601"/>
    <w:rsid w:val="6B5C0882"/>
    <w:rsid w:val="6BDA7089"/>
    <w:rsid w:val="6E8031FC"/>
    <w:rsid w:val="6F9B37EA"/>
    <w:rsid w:val="74F7530B"/>
    <w:rsid w:val="75DE042B"/>
    <w:rsid w:val="76E61C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styleId="8">
    <w:name w:val="page number"/>
    <w:basedOn w:val="6"/>
    <w:qFormat/>
    <w:uiPriority w:val="0"/>
  </w:style>
  <w:style w:type="character" w:styleId="9">
    <w:name w:val="FollowedHyperlink"/>
    <w:basedOn w:val="6"/>
    <w:qFormat/>
    <w:uiPriority w:val="0"/>
    <w:rPr>
      <w:color w:val="333333"/>
      <w:u w:val="none"/>
    </w:rPr>
  </w:style>
  <w:style w:type="character" w:styleId="10">
    <w:name w:val="Hyperlink"/>
    <w:basedOn w:val="6"/>
    <w:qFormat/>
    <w:uiPriority w:val="0"/>
    <w:rPr>
      <w:color w:val="333333"/>
      <w:u w:val="none"/>
    </w:rPr>
  </w:style>
  <w:style w:type="character" w:customStyle="1" w:styleId="11">
    <w:name w:val="not([class*=suffix])"/>
    <w:basedOn w:val="6"/>
    <w:qFormat/>
    <w:uiPriority w:val="0"/>
    <w:rPr>
      <w:sz w:val="19"/>
      <w:szCs w:val="19"/>
    </w:rPr>
  </w:style>
  <w:style w:type="character" w:customStyle="1" w:styleId="12">
    <w:name w:val="not([class*=suffix])1"/>
    <w:basedOn w:val="6"/>
    <w:qFormat/>
    <w:uiPriority w:val="0"/>
  </w:style>
  <w:style w:type="character" w:customStyle="1" w:styleId="13">
    <w:name w:val="u_page"/>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chart" Target="charts/chart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sktop\A4&#27169;&#26495;.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p>
      </c:txPr>
    </c:title>
    <c:autoTitleDeleted val="0"/>
    <c:plotArea>
      <c:layout/>
      <c:pieChart>
        <c:varyColors val="1"/>
        <c:ser>
          <c:idx val="0"/>
          <c:order val="0"/>
          <c:tx>
            <c:strRef>
              <c:f>Sheet1!$B$1</c:f>
              <c:strCache>
                <c:ptCount val="1"/>
                <c:pt idx="0">
                  <c:v>申请答复数量</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eparator>;</c:separator>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Sheet1!$A$2:$A$7</c:f>
              <c:strCache>
                <c:ptCount val="6"/>
                <c:pt idx="0">
                  <c:v>予以公开</c:v>
                </c:pt>
                <c:pt idx="1">
                  <c:v>部分公开</c:v>
                </c:pt>
                <c:pt idx="2">
                  <c:v>不予公开</c:v>
                </c:pt>
                <c:pt idx="3">
                  <c:v>无法提供</c:v>
                </c:pt>
                <c:pt idx="4">
                  <c:v>其他处理</c:v>
                </c:pt>
                <c:pt idx="5">
                  <c:v>转接下年办理</c:v>
                </c:pt>
              </c:strCache>
            </c:strRef>
          </c:cat>
          <c:val>
            <c:numRef>
              <c:f>Sheet1!$B$2:$B$7</c:f>
              <c:numCache>
                <c:formatCode>General</c:formatCode>
                <c:ptCount val="6"/>
                <c:pt idx="0">
                  <c:v>46</c:v>
                </c:pt>
                <c:pt idx="1">
                  <c:v>21</c:v>
                </c:pt>
                <c:pt idx="2">
                  <c:v>1.5</c:v>
                </c:pt>
                <c:pt idx="3">
                  <c:v>22</c:v>
                </c:pt>
                <c:pt idx="4">
                  <c:v>8</c:v>
                </c:pt>
                <c:pt idx="5">
                  <c:v>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A4模板.dot</Template>
  <Pages>19</Pages>
  <Words>6090</Words>
  <Characters>6328</Characters>
  <Lines>1</Lines>
  <Paragraphs>1</Paragraphs>
  <TotalTime>3</TotalTime>
  <ScaleCrop>false</ScaleCrop>
  <LinksUpToDate>false</LinksUpToDate>
  <CharactersWithSpaces>6408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2022-01-20T08:40:00Z</dcterms:created>
  <dc:creator>a</dc:creator>
  <cp:lastModifiedBy>张明</cp:lastModifiedBy>
  <cp:lastPrinted>2022-02-10T09:06:00Z</cp:lastPrinted>
  <dcterms:modified xsi:type="dcterms:W3CDTF">2022-07-18T08:33:52Z</dcterms:modified>
  <dc:title>关于推进科教文卫系统事业单位改革</dc:title>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9069A035C3FD438C8F3606CFFBF6FD80</vt:lpwstr>
  </property>
  <property fmtid="{D5CDD505-2E9C-101B-9397-08002B2CF9AE}" pid="3" name="KSOProductBuildVer">
    <vt:lpwstr>2052-11.1.0.11830</vt:lpwstr>
  </property>
</Properties>
</file>